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val="0"/>
        <w:spacing w:before="2497" w:beforeLines="800" w:after="7489" w:afterLines="2400" w:line="240" w:lineRule="auto"/>
        <w:jc w:val="center"/>
        <w:textAlignment w:val="auto"/>
        <w:outlineLvl w:val="9"/>
        <w:rPr>
          <w:rFonts w:hint="eastAsia" w:ascii="方正小标宋简体" w:hAnsi="方正小标宋简体" w:eastAsia="方正小标宋简体" w:cs="方正小标宋简体"/>
          <w:b w:val="0"/>
          <w:bCs w:val="0"/>
          <w:sz w:val="44"/>
          <w:szCs w:val="44"/>
        </w:rPr>
      </w:pPr>
      <w:bookmarkStart w:id="0" w:name="_Toc476140370"/>
      <w:r>
        <w:rPr>
          <w:rFonts w:hint="eastAsia" w:ascii="方正小标宋简体" w:hAnsi="方正小标宋简体" w:eastAsia="方正小标宋简体" w:cs="方正小标宋简体"/>
          <w:b w:val="0"/>
          <w:bCs w:val="0"/>
          <w:sz w:val="44"/>
          <w:szCs w:val="44"/>
        </w:rPr>
        <w:t>城维计划-城乡规划勘察-广州市城乡规划用地工程地质勘察与地质环境质量评价</w:t>
      </w:r>
      <w:r>
        <w:rPr>
          <w:rFonts w:hint="eastAsia" w:ascii="方正小标宋简体" w:hAnsi="方正小标宋简体" w:eastAsia="方正小标宋简体" w:cs="方正小标宋简体"/>
          <w:b w:val="0"/>
          <w:bCs w:val="0"/>
          <w:sz w:val="44"/>
          <w:szCs w:val="44"/>
          <w:lang w:eastAsia="zh-CN"/>
        </w:rPr>
        <w:t>项目</w:t>
      </w:r>
      <w:r>
        <w:rPr>
          <w:rFonts w:hint="eastAsia" w:ascii="方正小标宋简体" w:hAnsi="方正小标宋简体" w:eastAsia="方正小标宋简体" w:cs="方正小标宋简体"/>
          <w:b w:val="0"/>
          <w:bCs w:val="0"/>
          <w:sz w:val="44"/>
          <w:szCs w:val="44"/>
        </w:rPr>
        <w:t>采购需求书</w:t>
      </w:r>
    </w:p>
    <w:p>
      <w:pPr>
        <w:autoSpaceDE w:val="0"/>
        <w:spacing w:line="360" w:lineRule="auto"/>
        <w:jc w:val="center"/>
        <w:rPr>
          <w:rFonts w:ascii="宋体" w:hAnsi="宋体"/>
          <w:b/>
          <w:bCs/>
          <w:sz w:val="28"/>
          <w:szCs w:val="28"/>
        </w:rPr>
      </w:pPr>
      <w:r>
        <w:rPr>
          <w:rFonts w:hint="eastAsia" w:ascii="宋体" w:hAnsi="宋体"/>
          <w:b/>
          <w:bCs/>
          <w:sz w:val="28"/>
          <w:szCs w:val="28"/>
        </w:rPr>
        <w:t>广州市规划和自然资源局</w:t>
      </w:r>
    </w:p>
    <w:p>
      <w:pPr>
        <w:autoSpaceDE w:val="0"/>
        <w:spacing w:line="360" w:lineRule="auto"/>
        <w:jc w:val="center"/>
        <w:rPr>
          <w:rFonts w:ascii="宋体" w:hAnsi="宋体"/>
          <w:b/>
          <w:bCs/>
          <w:sz w:val="28"/>
          <w:szCs w:val="28"/>
        </w:rPr>
      </w:pPr>
      <w:r>
        <w:rPr>
          <w:rFonts w:hint="eastAsia" w:ascii="宋体" w:hAnsi="宋体"/>
          <w:b/>
          <w:bCs/>
          <w:sz w:val="28"/>
          <w:szCs w:val="28"/>
        </w:rPr>
        <w:t>2020年1月</w:t>
      </w:r>
    </w:p>
    <w:p>
      <w:pPr>
        <w:spacing w:before="156" w:beforeLines="50" w:after="156" w:afterLines="50"/>
        <w:rPr>
          <w:rFonts w:ascii="宋体" w:hAnsi="宋体"/>
          <w:b/>
          <w:bCs/>
          <w:sz w:val="24"/>
          <w:szCs w:val="24"/>
        </w:rPr>
      </w:pPr>
      <w:r>
        <w:rPr>
          <w:rFonts w:hint="eastAsia" w:ascii="宋体" w:hAnsi="宋体"/>
          <w:b/>
          <w:bCs/>
          <w:sz w:val="24"/>
          <w:szCs w:val="24"/>
        </w:rPr>
        <w:t xml:space="preserve"> </w:t>
      </w:r>
    </w:p>
    <w:p>
      <w:pPr>
        <w:rPr>
          <w:rFonts w:ascii="宋体" w:hAnsi="宋体"/>
          <w:b/>
          <w:bCs/>
          <w:sz w:val="52"/>
          <w:szCs w:val="52"/>
        </w:rPr>
        <w:sectPr>
          <w:footerReference r:id="rId3" w:type="default"/>
          <w:pgSz w:w="11906" w:h="16838"/>
          <w:pgMar w:top="1440" w:right="1800" w:bottom="1440" w:left="1800" w:header="720" w:footer="720" w:gutter="0"/>
          <w:cols w:space="720" w:num="1"/>
          <w:docGrid w:type="lines" w:linePitch="312" w:charSpace="0"/>
        </w:sectPr>
      </w:pPr>
    </w:p>
    <w:p>
      <w:pPr>
        <w:jc w:val="center"/>
        <w:rPr>
          <w:rFonts w:ascii="宋体" w:hAnsi="宋体"/>
          <w:b/>
          <w:bCs/>
          <w:kern w:val="2"/>
          <w:sz w:val="44"/>
          <w:szCs w:val="44"/>
        </w:rPr>
      </w:pPr>
      <w:r>
        <w:rPr>
          <w:rFonts w:hint="eastAsia" w:ascii="宋体" w:hAnsi="宋体"/>
          <w:b/>
          <w:bCs/>
          <w:sz w:val="44"/>
          <w:szCs w:val="44"/>
        </w:rPr>
        <w:t>目  录</w:t>
      </w:r>
    </w:p>
    <w:p>
      <w:pPr>
        <w:jc w:val="center"/>
        <w:rPr>
          <w:rFonts w:ascii="宋体" w:hAnsi="宋体"/>
          <w:sz w:val="44"/>
          <w:szCs w:val="44"/>
        </w:rPr>
      </w:pPr>
      <w:r>
        <w:rPr>
          <w:rFonts w:hint="eastAsia" w:ascii="宋体" w:hAnsi="宋体"/>
          <w:sz w:val="44"/>
          <w:szCs w:val="44"/>
        </w:rPr>
        <w:t xml:space="preserve"> </w:t>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rPr>
          <w:rFonts w:ascii="宋体" w:hAnsi="宋体" w:eastAsia="宋体"/>
          <w:b/>
          <w:bCs/>
          <w:sz w:val="24"/>
          <w:szCs w:val="24"/>
        </w:rPr>
        <w:fldChar w:fldCharType="begin"/>
      </w:r>
      <w:r>
        <w:rPr>
          <w:rFonts w:ascii="宋体" w:hAnsi="宋体" w:eastAsia="宋体"/>
          <w:b/>
          <w:bCs/>
          <w:sz w:val="24"/>
          <w:szCs w:val="24"/>
        </w:rPr>
        <w:instrText xml:space="preserve"> </w:instrText>
      </w:r>
      <w:r>
        <w:rPr>
          <w:rFonts w:hint="eastAsia" w:ascii="宋体" w:hAnsi="宋体" w:eastAsia="宋体"/>
          <w:b/>
          <w:bCs/>
          <w:sz w:val="24"/>
          <w:szCs w:val="24"/>
        </w:rPr>
        <w:instrText xml:space="preserve">TOC \o "1-5" \h \z \u</w:instrText>
      </w:r>
      <w:r>
        <w:rPr>
          <w:rFonts w:ascii="宋体" w:hAnsi="宋体" w:eastAsia="宋体"/>
          <w:b/>
          <w:bCs/>
          <w:sz w:val="24"/>
          <w:szCs w:val="24"/>
        </w:rPr>
        <w:instrText xml:space="preserve"> </w:instrText>
      </w:r>
      <w:r>
        <w:rPr>
          <w:rFonts w:ascii="宋体" w:hAnsi="宋体" w:eastAsia="宋体"/>
          <w:b/>
          <w:bCs/>
          <w:sz w:val="24"/>
          <w:szCs w:val="24"/>
        </w:rPr>
        <w:fldChar w:fldCharType="separate"/>
      </w:r>
      <w:r>
        <w:fldChar w:fldCharType="begin"/>
      </w:r>
      <w:r>
        <w:instrText xml:space="preserve"> HYPERLINK \l "_Toc29020215" </w:instrText>
      </w:r>
      <w:r>
        <w:fldChar w:fldCharType="separate"/>
      </w:r>
      <w:r>
        <w:rPr>
          <w:rStyle w:val="15"/>
          <w:rFonts w:ascii="宋体" w:hAnsi="宋体" w:eastAsia="宋体"/>
          <w:sz w:val="24"/>
          <w:szCs w:val="24"/>
        </w:rPr>
        <w:t>一、</w:t>
      </w:r>
      <w:r>
        <w:rPr>
          <w:rFonts w:ascii="宋体" w:hAnsi="宋体" w:eastAsia="宋体" w:cstheme="minorBidi"/>
          <w:smallCaps w:val="0"/>
          <w:kern w:val="2"/>
          <w:sz w:val="24"/>
          <w:szCs w:val="24"/>
        </w:rPr>
        <w:tab/>
      </w:r>
      <w:r>
        <w:rPr>
          <w:rStyle w:val="15"/>
          <w:rFonts w:ascii="宋体" w:hAnsi="宋体" w:eastAsia="宋体"/>
          <w:sz w:val="24"/>
          <w:szCs w:val="24"/>
        </w:rPr>
        <w:t>项目背景</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_Toc29020215 \h </w:instrText>
      </w:r>
      <w:r>
        <w:rPr>
          <w:rFonts w:ascii="宋体" w:hAnsi="宋体" w:eastAsia="宋体"/>
          <w:sz w:val="24"/>
          <w:szCs w:val="24"/>
        </w:rPr>
        <w:fldChar w:fldCharType="separate"/>
      </w:r>
      <w:r>
        <w:rPr>
          <w:rFonts w:ascii="宋体" w:hAnsi="宋体" w:eastAsia="宋体"/>
          <w:sz w:val="24"/>
          <w:szCs w:val="24"/>
        </w:rPr>
        <w:t>2</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"_Toc29020216" </w:instrText>
      </w:r>
      <w:r>
        <w:fldChar w:fldCharType="separate"/>
      </w:r>
      <w:r>
        <w:rPr>
          <w:rStyle w:val="15"/>
          <w:rFonts w:ascii="宋体" w:hAnsi="宋体" w:eastAsia="宋体"/>
          <w:sz w:val="24"/>
          <w:szCs w:val="24"/>
        </w:rPr>
        <w:t>二、</w:t>
      </w:r>
      <w:r>
        <w:rPr>
          <w:rFonts w:ascii="宋体" w:hAnsi="宋体" w:eastAsia="宋体" w:cstheme="minorBidi"/>
          <w:smallCaps w:val="0"/>
          <w:kern w:val="2"/>
          <w:sz w:val="24"/>
          <w:szCs w:val="24"/>
        </w:rPr>
        <w:tab/>
      </w:r>
      <w:r>
        <w:rPr>
          <w:rStyle w:val="15"/>
          <w:rFonts w:ascii="宋体" w:hAnsi="宋体" w:eastAsia="宋体"/>
          <w:sz w:val="24"/>
          <w:szCs w:val="24"/>
        </w:rPr>
        <w:t>目标任务</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_Toc29020216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"_Toc29020217" </w:instrText>
      </w:r>
      <w:r>
        <w:fldChar w:fldCharType="separate"/>
      </w:r>
      <w:r>
        <w:rPr>
          <w:rStyle w:val="15"/>
          <w:rFonts w:ascii="宋体" w:hAnsi="宋体" w:eastAsia="宋体"/>
          <w:sz w:val="24"/>
          <w:szCs w:val="24"/>
        </w:rPr>
        <w:t>三、</w:t>
      </w:r>
      <w:r>
        <w:rPr>
          <w:rFonts w:ascii="宋体" w:hAnsi="宋体" w:eastAsia="宋体" w:cstheme="minorBidi"/>
          <w:smallCaps w:val="0"/>
          <w:kern w:val="2"/>
          <w:sz w:val="24"/>
          <w:szCs w:val="24"/>
        </w:rPr>
        <w:tab/>
      </w:r>
      <w:r>
        <w:rPr>
          <w:rStyle w:val="15"/>
          <w:rFonts w:ascii="宋体" w:hAnsi="宋体" w:eastAsia="宋体"/>
          <w:sz w:val="24"/>
          <w:szCs w:val="24"/>
        </w:rPr>
        <w:t>承接人资质要求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_Toc29020217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"_Toc29020218" </w:instrText>
      </w:r>
      <w:r>
        <w:fldChar w:fldCharType="separate"/>
      </w:r>
      <w:r>
        <w:rPr>
          <w:rStyle w:val="15"/>
          <w:rFonts w:ascii="宋体" w:hAnsi="宋体" w:eastAsia="宋体"/>
          <w:sz w:val="24"/>
          <w:szCs w:val="24"/>
        </w:rPr>
        <w:t>四、</w:t>
      </w:r>
      <w:r>
        <w:rPr>
          <w:rFonts w:ascii="宋体" w:hAnsi="宋体" w:eastAsia="宋体" w:cstheme="minorBidi"/>
          <w:smallCaps w:val="0"/>
          <w:kern w:val="2"/>
          <w:sz w:val="24"/>
          <w:szCs w:val="24"/>
        </w:rPr>
        <w:tab/>
      </w:r>
      <w:r>
        <w:rPr>
          <w:rStyle w:val="15"/>
          <w:rFonts w:ascii="宋体" w:hAnsi="宋体" w:eastAsia="宋体"/>
          <w:sz w:val="24"/>
          <w:szCs w:val="24"/>
        </w:rPr>
        <w:t>评价工作范围</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_Toc29020218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"_Toc29020219" </w:instrText>
      </w:r>
      <w:r>
        <w:fldChar w:fldCharType="separate"/>
      </w:r>
      <w:r>
        <w:rPr>
          <w:rStyle w:val="15"/>
          <w:rFonts w:ascii="宋体" w:hAnsi="宋体" w:eastAsia="宋体"/>
          <w:sz w:val="24"/>
          <w:szCs w:val="24"/>
        </w:rPr>
        <w:t>五、</w:t>
      </w:r>
      <w:r>
        <w:rPr>
          <w:rFonts w:ascii="宋体" w:hAnsi="宋体" w:eastAsia="宋体" w:cstheme="minorBidi"/>
          <w:smallCaps w:val="0"/>
          <w:kern w:val="2"/>
          <w:sz w:val="24"/>
          <w:szCs w:val="24"/>
        </w:rPr>
        <w:tab/>
      </w:r>
      <w:r>
        <w:rPr>
          <w:rStyle w:val="15"/>
          <w:rFonts w:ascii="宋体" w:hAnsi="宋体" w:eastAsia="宋体"/>
          <w:sz w:val="24"/>
          <w:szCs w:val="24"/>
        </w:rPr>
        <w:t>服务期限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_Toc29020219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"_Toc29020220" </w:instrText>
      </w:r>
      <w:r>
        <w:fldChar w:fldCharType="separate"/>
      </w:r>
      <w:r>
        <w:rPr>
          <w:rStyle w:val="15"/>
          <w:rFonts w:ascii="宋体" w:hAnsi="宋体" w:eastAsia="宋体"/>
          <w:sz w:val="24"/>
          <w:szCs w:val="24"/>
        </w:rPr>
        <w:t>六、</w:t>
      </w:r>
      <w:r>
        <w:rPr>
          <w:rFonts w:ascii="宋体" w:hAnsi="宋体" w:eastAsia="宋体" w:cstheme="minorBidi"/>
          <w:smallCaps w:val="0"/>
          <w:kern w:val="2"/>
          <w:sz w:val="24"/>
          <w:szCs w:val="24"/>
        </w:rPr>
        <w:tab/>
      </w:r>
      <w:r>
        <w:rPr>
          <w:rStyle w:val="15"/>
          <w:rFonts w:ascii="宋体" w:hAnsi="宋体" w:eastAsia="宋体"/>
          <w:sz w:val="24"/>
          <w:szCs w:val="24"/>
        </w:rPr>
        <w:t>项目依据及技术标准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_Toc29020220 \h </w:instrText>
      </w:r>
      <w:r>
        <w:rPr>
          <w:rFonts w:ascii="宋体" w:hAnsi="宋体" w:eastAsia="宋体"/>
          <w:sz w:val="24"/>
          <w:szCs w:val="24"/>
        </w:rPr>
        <w:fldChar w:fldCharType="separate"/>
      </w:r>
      <w:r>
        <w:rPr>
          <w:rFonts w:ascii="宋体" w:hAnsi="宋体" w:eastAsia="宋体"/>
          <w:sz w:val="24"/>
          <w:szCs w:val="24"/>
        </w:rPr>
        <w:t>4</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"_Toc29020221" </w:instrText>
      </w:r>
      <w:r>
        <w:fldChar w:fldCharType="separate"/>
      </w:r>
      <w:r>
        <w:rPr>
          <w:rStyle w:val="15"/>
          <w:rFonts w:ascii="宋体" w:hAnsi="宋体" w:eastAsia="宋体"/>
          <w:sz w:val="24"/>
          <w:szCs w:val="24"/>
        </w:rPr>
        <w:t>七、</w:t>
      </w:r>
      <w:r>
        <w:rPr>
          <w:rFonts w:ascii="宋体" w:hAnsi="宋体" w:eastAsia="宋体" w:cstheme="minorBidi"/>
          <w:smallCaps w:val="0"/>
          <w:kern w:val="2"/>
          <w:sz w:val="24"/>
          <w:szCs w:val="24"/>
        </w:rPr>
        <w:tab/>
      </w:r>
      <w:r>
        <w:rPr>
          <w:rStyle w:val="15"/>
          <w:rFonts w:ascii="宋体" w:hAnsi="宋体" w:eastAsia="宋体"/>
          <w:sz w:val="24"/>
          <w:szCs w:val="24"/>
        </w:rPr>
        <w:t>主要工作内容与要求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_Toc29020221 \h </w:instrText>
      </w:r>
      <w:r>
        <w:rPr>
          <w:rFonts w:ascii="宋体" w:hAnsi="宋体" w:eastAsia="宋体"/>
          <w:sz w:val="24"/>
          <w:szCs w:val="24"/>
        </w:rPr>
        <w:fldChar w:fldCharType="separate"/>
      </w:r>
      <w:r>
        <w:rPr>
          <w:rFonts w:ascii="宋体" w:hAnsi="宋体" w:eastAsia="宋体"/>
          <w:sz w:val="24"/>
          <w:szCs w:val="24"/>
        </w:rPr>
        <w:t>5</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"_Toc29020222" </w:instrText>
      </w:r>
      <w:r>
        <w:fldChar w:fldCharType="separate"/>
      </w:r>
      <w:r>
        <w:rPr>
          <w:rStyle w:val="15"/>
          <w:rFonts w:ascii="宋体" w:hAnsi="宋体" w:eastAsia="宋体"/>
          <w:sz w:val="24"/>
          <w:szCs w:val="24"/>
        </w:rPr>
        <w:t>八、</w:t>
      </w:r>
      <w:r>
        <w:rPr>
          <w:rFonts w:ascii="宋体" w:hAnsi="宋体" w:eastAsia="宋体" w:cstheme="minorBidi"/>
          <w:smallCaps w:val="0"/>
          <w:kern w:val="2"/>
          <w:sz w:val="24"/>
          <w:szCs w:val="24"/>
        </w:rPr>
        <w:tab/>
      </w:r>
      <w:r>
        <w:rPr>
          <w:rStyle w:val="15"/>
          <w:rFonts w:ascii="宋体" w:hAnsi="宋体" w:eastAsia="宋体"/>
          <w:sz w:val="24"/>
          <w:szCs w:val="24"/>
        </w:rPr>
        <w:t>预期成果</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_Toc29020222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"_Toc29020223" </w:instrText>
      </w:r>
      <w:r>
        <w:fldChar w:fldCharType="separate"/>
      </w:r>
      <w:r>
        <w:rPr>
          <w:rStyle w:val="15"/>
          <w:rFonts w:ascii="宋体" w:hAnsi="宋体" w:eastAsia="宋体"/>
          <w:sz w:val="24"/>
          <w:szCs w:val="24"/>
        </w:rPr>
        <w:t>九、</w:t>
      </w:r>
      <w:r>
        <w:rPr>
          <w:rFonts w:ascii="宋体" w:hAnsi="宋体" w:eastAsia="宋体" w:cstheme="minorBidi"/>
          <w:smallCaps w:val="0"/>
          <w:kern w:val="2"/>
          <w:sz w:val="24"/>
          <w:szCs w:val="24"/>
        </w:rPr>
        <w:tab/>
      </w:r>
      <w:r>
        <w:rPr>
          <w:rStyle w:val="15"/>
          <w:rFonts w:ascii="宋体" w:hAnsi="宋体" w:eastAsia="宋体"/>
          <w:sz w:val="24"/>
          <w:szCs w:val="24"/>
        </w:rPr>
        <w:t>提交资料要求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_Toc29020223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84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"_Toc29020224" </w:instrText>
      </w:r>
      <w:r>
        <w:fldChar w:fldCharType="separate"/>
      </w:r>
      <w:r>
        <w:rPr>
          <w:rStyle w:val="15"/>
          <w:rFonts w:ascii="宋体" w:hAnsi="宋体" w:eastAsia="宋体"/>
          <w:sz w:val="24"/>
          <w:szCs w:val="24"/>
        </w:rPr>
        <w:t>十、</w:t>
      </w:r>
      <w:r>
        <w:rPr>
          <w:rFonts w:ascii="宋体" w:hAnsi="宋体" w:eastAsia="宋体" w:cstheme="minorBidi"/>
          <w:smallCaps w:val="0"/>
          <w:kern w:val="2"/>
          <w:sz w:val="24"/>
          <w:szCs w:val="24"/>
        </w:rPr>
        <w:tab/>
      </w:r>
      <w:r>
        <w:rPr>
          <w:rStyle w:val="15"/>
          <w:rFonts w:ascii="宋体" w:hAnsi="宋体" w:eastAsia="宋体"/>
          <w:sz w:val="24"/>
          <w:szCs w:val="24"/>
        </w:rPr>
        <w:t>验收要求</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_Toc29020224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"_Toc29020225" </w:instrText>
      </w:r>
      <w:r>
        <w:fldChar w:fldCharType="separate"/>
      </w:r>
      <w:r>
        <w:rPr>
          <w:rStyle w:val="15"/>
          <w:rFonts w:ascii="宋体" w:hAnsi="宋体" w:eastAsia="宋体"/>
          <w:sz w:val="24"/>
          <w:szCs w:val="24"/>
        </w:rPr>
        <w:t>十一、</w:t>
      </w:r>
      <w:r>
        <w:rPr>
          <w:rFonts w:ascii="宋体" w:hAnsi="宋体" w:eastAsia="宋体" w:cstheme="minorBidi"/>
          <w:smallCaps w:val="0"/>
          <w:kern w:val="2"/>
          <w:sz w:val="24"/>
          <w:szCs w:val="24"/>
        </w:rPr>
        <w:tab/>
      </w:r>
      <w:r>
        <w:rPr>
          <w:rStyle w:val="15"/>
          <w:rFonts w:ascii="宋体" w:hAnsi="宋体" w:eastAsia="宋体"/>
          <w:sz w:val="24"/>
          <w:szCs w:val="24"/>
        </w:rPr>
        <w:t>质量、安全文明施工、进度保证</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_Toc29020225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"_Toc29020226" </w:instrText>
      </w:r>
      <w:r>
        <w:fldChar w:fldCharType="separate"/>
      </w:r>
      <w:r>
        <w:rPr>
          <w:rStyle w:val="15"/>
          <w:rFonts w:ascii="宋体" w:hAnsi="宋体" w:eastAsia="宋体"/>
          <w:sz w:val="24"/>
          <w:szCs w:val="24"/>
        </w:rPr>
        <w:t>十二、</w:t>
      </w:r>
      <w:r>
        <w:rPr>
          <w:rFonts w:ascii="宋体" w:hAnsi="宋体" w:eastAsia="宋体" w:cstheme="minorBidi"/>
          <w:smallCaps w:val="0"/>
          <w:kern w:val="2"/>
          <w:sz w:val="24"/>
          <w:szCs w:val="24"/>
        </w:rPr>
        <w:tab/>
      </w:r>
      <w:r>
        <w:rPr>
          <w:rStyle w:val="15"/>
          <w:rFonts w:ascii="宋体" w:hAnsi="宋体" w:eastAsia="宋体"/>
          <w:sz w:val="24"/>
          <w:szCs w:val="24"/>
        </w:rPr>
        <w:t>合同的签订</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_Toc29020226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"_Toc29020227" </w:instrText>
      </w:r>
      <w:r>
        <w:fldChar w:fldCharType="separate"/>
      </w:r>
      <w:r>
        <w:rPr>
          <w:rStyle w:val="15"/>
          <w:rFonts w:ascii="宋体" w:hAnsi="宋体" w:eastAsia="宋体"/>
          <w:sz w:val="24"/>
          <w:szCs w:val="24"/>
        </w:rPr>
        <w:t>十三、</w:t>
      </w:r>
      <w:r>
        <w:rPr>
          <w:rFonts w:ascii="宋体" w:hAnsi="宋体" w:eastAsia="宋体" w:cstheme="minorBidi"/>
          <w:smallCaps w:val="0"/>
          <w:kern w:val="2"/>
          <w:sz w:val="24"/>
          <w:szCs w:val="24"/>
        </w:rPr>
        <w:tab/>
      </w:r>
      <w:r>
        <w:rPr>
          <w:rStyle w:val="15"/>
          <w:rFonts w:ascii="宋体" w:hAnsi="宋体" w:eastAsia="宋体"/>
          <w:sz w:val="24"/>
          <w:szCs w:val="24"/>
        </w:rPr>
        <w:t>付款方式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_Toc29020227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"_Toc29020228" </w:instrText>
      </w:r>
      <w:r>
        <w:fldChar w:fldCharType="separate"/>
      </w:r>
      <w:r>
        <w:rPr>
          <w:rStyle w:val="15"/>
          <w:rFonts w:ascii="宋体" w:hAnsi="宋体" w:eastAsia="宋体"/>
          <w:sz w:val="24"/>
          <w:szCs w:val="24"/>
        </w:rPr>
        <w:t>十四、</w:t>
      </w:r>
      <w:r>
        <w:rPr>
          <w:rFonts w:ascii="宋体" w:hAnsi="宋体" w:eastAsia="宋体" w:cstheme="minorBidi"/>
          <w:smallCaps w:val="0"/>
          <w:kern w:val="2"/>
          <w:sz w:val="24"/>
          <w:szCs w:val="24"/>
        </w:rPr>
        <w:tab/>
      </w:r>
      <w:r>
        <w:rPr>
          <w:rStyle w:val="15"/>
          <w:rFonts w:ascii="宋体" w:hAnsi="宋体" w:eastAsia="宋体"/>
          <w:sz w:val="24"/>
          <w:szCs w:val="24"/>
        </w:rPr>
        <w:t>成果所有权</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_Toc29020228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"_Toc29020229" </w:instrText>
      </w:r>
      <w:r>
        <w:fldChar w:fldCharType="separate"/>
      </w:r>
      <w:r>
        <w:rPr>
          <w:rStyle w:val="15"/>
          <w:rFonts w:ascii="宋体" w:hAnsi="宋体" w:eastAsia="宋体"/>
          <w:sz w:val="24"/>
          <w:szCs w:val="24"/>
        </w:rPr>
        <w:t>十五、</w:t>
      </w:r>
      <w:r>
        <w:rPr>
          <w:rFonts w:ascii="宋体" w:hAnsi="宋体" w:eastAsia="宋体" w:cstheme="minorBidi"/>
          <w:smallCaps w:val="0"/>
          <w:kern w:val="2"/>
          <w:sz w:val="24"/>
          <w:szCs w:val="24"/>
        </w:rPr>
        <w:tab/>
      </w:r>
      <w:r>
        <w:rPr>
          <w:rStyle w:val="15"/>
          <w:rFonts w:ascii="宋体" w:hAnsi="宋体" w:eastAsia="宋体"/>
          <w:sz w:val="24"/>
          <w:szCs w:val="24"/>
        </w:rPr>
        <w:t>成果安全与保密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_Toc29020229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"_Toc29020230" </w:instrText>
      </w:r>
      <w:r>
        <w:fldChar w:fldCharType="separate"/>
      </w:r>
      <w:r>
        <w:rPr>
          <w:rStyle w:val="15"/>
          <w:rFonts w:ascii="宋体" w:hAnsi="宋体" w:eastAsia="宋体"/>
          <w:sz w:val="24"/>
          <w:szCs w:val="24"/>
        </w:rPr>
        <w:t>十六、</w:t>
      </w:r>
      <w:r>
        <w:rPr>
          <w:rFonts w:ascii="宋体" w:hAnsi="宋体" w:eastAsia="宋体" w:cstheme="minorBidi"/>
          <w:smallCaps w:val="0"/>
          <w:kern w:val="2"/>
          <w:sz w:val="24"/>
          <w:szCs w:val="24"/>
        </w:rPr>
        <w:tab/>
      </w:r>
      <w:r>
        <w:rPr>
          <w:rStyle w:val="15"/>
          <w:rFonts w:ascii="宋体" w:hAnsi="宋体" w:eastAsia="宋体"/>
          <w:sz w:val="24"/>
          <w:szCs w:val="24"/>
        </w:rPr>
        <w:t>采购计划</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_Toc29020230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"_Toc29020231" </w:instrText>
      </w:r>
      <w:r>
        <w:fldChar w:fldCharType="separate"/>
      </w:r>
      <w:r>
        <w:rPr>
          <w:rStyle w:val="15"/>
          <w:rFonts w:ascii="宋体" w:hAnsi="宋体" w:eastAsia="宋体"/>
          <w:sz w:val="24"/>
          <w:szCs w:val="24"/>
        </w:rPr>
        <w:t>十七、</w:t>
      </w:r>
      <w:r>
        <w:rPr>
          <w:rFonts w:ascii="宋体" w:hAnsi="宋体" w:eastAsia="宋体" w:cstheme="minorBidi"/>
          <w:smallCaps w:val="0"/>
          <w:kern w:val="2"/>
          <w:sz w:val="24"/>
          <w:szCs w:val="24"/>
        </w:rPr>
        <w:tab/>
      </w:r>
      <w:r>
        <w:rPr>
          <w:rStyle w:val="15"/>
          <w:rFonts w:ascii="宋体" w:hAnsi="宋体" w:eastAsia="宋体"/>
          <w:sz w:val="24"/>
          <w:szCs w:val="24"/>
        </w:rPr>
        <w:t>违约责任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_Toc29020231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12"/>
        <w:tabs>
          <w:tab w:val="left" w:pos="1050"/>
          <w:tab w:val="right" w:leader="dot" w:pos="8296"/>
        </w:tabs>
        <w:adjustRightInd w:val="0"/>
        <w:snapToGrid w:val="0"/>
        <w:spacing w:line="360" w:lineRule="auto"/>
        <w:rPr>
          <w:rFonts w:ascii="宋体" w:hAnsi="宋体" w:eastAsia="宋体" w:cstheme="minorBidi"/>
          <w:smallCaps w:val="0"/>
          <w:kern w:val="2"/>
          <w:sz w:val="24"/>
          <w:szCs w:val="24"/>
        </w:rPr>
      </w:pPr>
      <w:r>
        <w:fldChar w:fldCharType="begin"/>
      </w:r>
      <w:r>
        <w:instrText xml:space="preserve"> HYPERLINK \l "_Toc29020232" </w:instrText>
      </w:r>
      <w:r>
        <w:fldChar w:fldCharType="separate"/>
      </w:r>
      <w:r>
        <w:rPr>
          <w:rStyle w:val="15"/>
          <w:rFonts w:ascii="宋体" w:hAnsi="宋体" w:eastAsia="宋体"/>
          <w:sz w:val="24"/>
          <w:szCs w:val="24"/>
        </w:rPr>
        <w:t>十八、</w:t>
      </w:r>
      <w:r>
        <w:rPr>
          <w:rFonts w:ascii="宋体" w:hAnsi="宋体" w:eastAsia="宋体" w:cstheme="minorBidi"/>
          <w:smallCaps w:val="0"/>
          <w:kern w:val="2"/>
          <w:sz w:val="24"/>
          <w:szCs w:val="24"/>
        </w:rPr>
        <w:tab/>
      </w:r>
      <w:r>
        <w:rPr>
          <w:rStyle w:val="15"/>
          <w:rFonts w:ascii="宋体" w:hAnsi="宋体" w:eastAsia="宋体"/>
          <w:sz w:val="24"/>
          <w:szCs w:val="24"/>
        </w:rPr>
        <w:t>解释权</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_Toc29020232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autoSpaceDE w:val="0"/>
        <w:adjustRightInd w:val="0"/>
        <w:snapToGrid w:val="0"/>
        <w:spacing w:before="156" w:beforeLines="50" w:after="156" w:afterLines="50" w:line="360" w:lineRule="auto"/>
        <w:rPr>
          <w:rFonts w:ascii="宋体" w:hAnsi="宋体"/>
          <w:b/>
          <w:bCs/>
          <w:sz w:val="24"/>
          <w:szCs w:val="24"/>
        </w:rPr>
        <w:sectPr>
          <w:pgSz w:w="11906" w:h="16838"/>
          <w:pgMar w:top="1440" w:right="1800" w:bottom="1440" w:left="1800" w:header="851" w:footer="992" w:gutter="0"/>
          <w:cols w:space="425" w:num="1"/>
          <w:docGrid w:type="lines" w:linePitch="312" w:charSpace="0"/>
        </w:sectPr>
      </w:pPr>
      <w:r>
        <w:rPr>
          <w:rFonts w:ascii="宋体" w:hAnsi="宋体"/>
          <w:b/>
          <w:bCs/>
          <w:sz w:val="24"/>
          <w:szCs w:val="24"/>
        </w:rPr>
        <w:fldChar w:fldCharType="end"/>
      </w:r>
    </w:p>
    <w:p>
      <w:pPr>
        <w:tabs>
          <w:tab w:val="left" w:pos="2055"/>
          <w:tab w:val="center" w:pos="4153"/>
        </w:tabs>
        <w:spacing w:before="156" w:beforeLines="50" w:after="156" w:afterLines="50"/>
        <w:jc w:val="center"/>
        <w:rPr>
          <w:b/>
          <w:sz w:val="32"/>
          <w:szCs w:val="32"/>
        </w:rPr>
      </w:pPr>
      <w:r>
        <w:rPr>
          <w:b/>
          <w:sz w:val="32"/>
          <w:szCs w:val="32"/>
        </w:rPr>
        <w:t>项目采购需求</w:t>
      </w:r>
    </w:p>
    <w:p>
      <w:pPr>
        <w:spacing w:before="156" w:beforeLines="50" w:after="156" w:afterLines="50"/>
        <w:rPr>
          <w:b/>
          <w:sz w:val="32"/>
          <w:szCs w:val="32"/>
        </w:rPr>
      </w:pPr>
      <w:r>
        <w:rPr>
          <w:b/>
          <w:sz w:val="32"/>
          <w:szCs w:val="32"/>
        </w:rPr>
        <w:t>项目需求一览表：</w:t>
      </w:r>
      <w:bookmarkEnd w:id="0"/>
    </w:p>
    <w:tbl>
      <w:tblPr>
        <w:tblStyle w:val="16"/>
        <w:tblW w:w="87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57"/>
        <w:gridCol w:w="2617"/>
        <w:gridCol w:w="16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607" w:hRule="atLeast"/>
          <w:jc w:val="center"/>
        </w:trPr>
        <w:tc>
          <w:tcPr>
            <w:tcW w:w="4457" w:type="dxa"/>
            <w:tcBorders>
              <w:top w:val="single" w:color="auto" w:sz="12" w:space="0"/>
              <w:bottom w:val="double" w:color="auto" w:sz="4" w:space="0"/>
            </w:tcBorders>
            <w:shd w:val="clear" w:color="auto" w:fill="EEECE1"/>
            <w:vAlign w:val="center"/>
          </w:tcPr>
          <w:p>
            <w:pPr>
              <w:jc w:val="center"/>
              <w:rPr>
                <w:b/>
                <w:sz w:val="32"/>
                <w:szCs w:val="32"/>
              </w:rPr>
            </w:pPr>
            <w:r>
              <w:rPr>
                <w:b/>
                <w:sz w:val="32"/>
                <w:szCs w:val="32"/>
              </w:rPr>
              <w:t>采购内容</w:t>
            </w:r>
          </w:p>
        </w:tc>
        <w:tc>
          <w:tcPr>
            <w:tcW w:w="2617" w:type="dxa"/>
            <w:tcBorders>
              <w:top w:val="single" w:color="auto" w:sz="12" w:space="0"/>
              <w:bottom w:val="double" w:color="auto" w:sz="4" w:space="0"/>
            </w:tcBorders>
            <w:shd w:val="clear" w:color="auto" w:fill="EEECE1"/>
            <w:vAlign w:val="center"/>
          </w:tcPr>
          <w:p>
            <w:pPr>
              <w:jc w:val="center"/>
              <w:rPr>
                <w:b/>
                <w:sz w:val="32"/>
                <w:szCs w:val="32"/>
              </w:rPr>
            </w:pPr>
            <w:r>
              <w:rPr>
                <w:b/>
                <w:sz w:val="32"/>
                <w:szCs w:val="32"/>
              </w:rPr>
              <w:t>完成期</w:t>
            </w:r>
          </w:p>
        </w:tc>
        <w:tc>
          <w:tcPr>
            <w:tcW w:w="1644" w:type="dxa"/>
            <w:tcBorders>
              <w:top w:val="single" w:color="auto" w:sz="12" w:space="0"/>
              <w:bottom w:val="double" w:color="auto" w:sz="4" w:space="0"/>
            </w:tcBorders>
            <w:shd w:val="clear" w:color="auto" w:fill="EEECE1"/>
            <w:vAlign w:val="center"/>
          </w:tcPr>
          <w:p>
            <w:pPr>
              <w:jc w:val="center"/>
              <w:rPr>
                <w:b/>
                <w:sz w:val="32"/>
                <w:szCs w:val="32"/>
              </w:rPr>
            </w:pPr>
            <w:r>
              <w:rPr>
                <w:b/>
                <w:sz w:val="32"/>
                <w:szCs w:val="32"/>
              </w:rPr>
              <w:t>最高限价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68" w:hRule="atLeast"/>
          <w:jc w:val="center"/>
        </w:trPr>
        <w:tc>
          <w:tcPr>
            <w:tcW w:w="4457" w:type="dxa"/>
            <w:tcBorders>
              <w:bottom w:val="single" w:color="auto" w:sz="12" w:space="0"/>
            </w:tcBorders>
            <w:vAlign w:val="center"/>
          </w:tcPr>
          <w:p>
            <w:pPr>
              <w:rPr>
                <w:bCs/>
                <w:sz w:val="24"/>
                <w:szCs w:val="24"/>
              </w:rPr>
            </w:pPr>
            <w:r>
              <w:rPr>
                <w:kern w:val="28"/>
                <w:sz w:val="24"/>
                <w:szCs w:val="24"/>
              </w:rPr>
              <w:t>城维计划-城乡规划勘察-广州市城乡规划用地工程地质勘察与地质环境质量评价</w:t>
            </w:r>
          </w:p>
        </w:tc>
        <w:tc>
          <w:tcPr>
            <w:tcW w:w="2617" w:type="dxa"/>
            <w:tcBorders>
              <w:bottom w:val="single" w:color="auto" w:sz="12" w:space="0"/>
            </w:tcBorders>
            <w:vAlign w:val="center"/>
          </w:tcPr>
          <w:p>
            <w:pPr>
              <w:pStyle w:val="23"/>
              <w:spacing w:line="240" w:lineRule="auto"/>
              <w:ind w:firstLine="12"/>
              <w:rPr>
                <w:kern w:val="28"/>
                <w:sz w:val="24"/>
                <w:szCs w:val="24"/>
              </w:rPr>
            </w:pPr>
            <w:r>
              <w:rPr>
                <w:kern w:val="28"/>
                <w:sz w:val="24"/>
                <w:szCs w:val="24"/>
              </w:rPr>
              <w:t>从签订合同日至2020年10月31日</w:t>
            </w:r>
          </w:p>
        </w:tc>
        <w:tc>
          <w:tcPr>
            <w:tcW w:w="1644" w:type="dxa"/>
            <w:tcBorders>
              <w:bottom w:val="single" w:color="auto" w:sz="12" w:space="0"/>
            </w:tcBorders>
            <w:vAlign w:val="center"/>
          </w:tcPr>
          <w:p>
            <w:pPr>
              <w:pStyle w:val="23"/>
              <w:spacing w:line="240" w:lineRule="auto"/>
              <w:ind w:firstLine="120"/>
              <w:rPr>
                <w:spacing w:val="0"/>
                <w:kern w:val="2"/>
                <w:sz w:val="24"/>
                <w:szCs w:val="24"/>
              </w:rPr>
            </w:pPr>
            <w:r>
              <w:rPr>
                <w:spacing w:val="0"/>
                <w:kern w:val="2"/>
                <w:sz w:val="24"/>
                <w:szCs w:val="24"/>
              </w:rPr>
              <w:t>人民币壹仟柒佰伍拾陆万元整</w:t>
            </w:r>
          </w:p>
        </w:tc>
      </w:tr>
    </w:tbl>
    <w:p>
      <w:pPr>
        <w:adjustRightInd w:val="0"/>
        <w:snapToGrid w:val="0"/>
        <w:spacing w:line="360" w:lineRule="auto"/>
        <w:rPr>
          <w:bCs/>
          <w:color w:val="000000"/>
          <w:kern w:val="2"/>
          <w:sz w:val="32"/>
          <w:szCs w:val="32"/>
        </w:rPr>
      </w:pPr>
    </w:p>
    <w:p>
      <w:pPr>
        <w:adjustRightInd w:val="0"/>
        <w:snapToGrid w:val="0"/>
        <w:spacing w:line="360" w:lineRule="auto"/>
        <w:ind w:firstLine="640" w:firstLineChars="200"/>
        <w:rPr>
          <w:bCs/>
          <w:color w:val="000000"/>
          <w:kern w:val="2"/>
          <w:sz w:val="32"/>
          <w:szCs w:val="32"/>
        </w:rPr>
      </w:pPr>
      <w:r>
        <w:rPr>
          <w:rFonts w:hint="eastAsia"/>
          <w:bCs/>
          <w:color w:val="000000"/>
          <w:kern w:val="2"/>
          <w:sz w:val="32"/>
          <w:szCs w:val="32"/>
        </w:rPr>
        <w:t>本项目资金来源为广州市财政资金，项目经费预算主要按照中国地质调查局《地质调查项目预算标准》（2010年试用版）和《工程勘察设计收费标准》(国家发展计划委员会、建设部，2002年修订本)等收费标准并参照历年类似项目等估算，资金投资构成说明：（1）搜集、整理已有基础地质、工程地质、水文地质资料202.5万；（2）区域地质调查22.4万；（3）专项水文地质测量、专项生态环境地质测量、专项工程地质测量、专项地质灾害测量111.6万；（4）工程地质勘察1103.</w:t>
      </w:r>
      <w:r>
        <w:rPr>
          <w:bCs/>
          <w:color w:val="000000"/>
          <w:kern w:val="2"/>
          <w:sz w:val="32"/>
          <w:szCs w:val="32"/>
        </w:rPr>
        <w:t>5</w:t>
      </w:r>
      <w:r>
        <w:rPr>
          <w:rFonts w:hint="eastAsia"/>
          <w:bCs/>
          <w:color w:val="000000"/>
          <w:kern w:val="2"/>
          <w:sz w:val="32"/>
          <w:szCs w:val="32"/>
        </w:rPr>
        <w:t>万；（5）</w:t>
      </w:r>
      <w:bookmarkStart w:id="1" w:name="_Hlk28978209"/>
      <w:r>
        <w:rPr>
          <w:rFonts w:hint="eastAsia"/>
          <w:bCs/>
          <w:color w:val="000000"/>
          <w:kern w:val="2"/>
          <w:sz w:val="32"/>
          <w:szCs w:val="32"/>
        </w:rPr>
        <w:t>地质环境质量分析评价研究、报告编写及专题图制作100万；（6）地质环境质量评价成果信息化60万；（7）地质环境三维模型构建150万；</w:t>
      </w:r>
      <w:bookmarkEnd w:id="1"/>
      <w:r>
        <w:rPr>
          <w:rFonts w:hint="eastAsia"/>
          <w:bCs/>
          <w:color w:val="000000"/>
          <w:kern w:val="2"/>
          <w:sz w:val="32"/>
          <w:szCs w:val="32"/>
        </w:rPr>
        <w:t>（8）专家评审费6万。</w:t>
      </w:r>
    </w:p>
    <w:p>
      <w:pPr>
        <w:pStyle w:val="2"/>
        <w:numPr>
          <w:ilvl w:val="0"/>
          <w:numId w:val="1"/>
        </w:numPr>
        <w:spacing w:before="312" w:beforeLines="100"/>
        <w:rPr>
          <w:rFonts w:ascii="Times New Roman" w:hAnsi="Times New Roman"/>
          <w:sz w:val="32"/>
          <w:szCs w:val="32"/>
        </w:rPr>
      </w:pPr>
      <w:bookmarkStart w:id="2" w:name="_Toc463969433"/>
      <w:bookmarkStart w:id="3" w:name="_Toc536609778"/>
      <w:bookmarkStart w:id="4" w:name="_Toc476140371"/>
      <w:bookmarkStart w:id="5" w:name="_Toc29020215"/>
      <w:bookmarkStart w:id="6" w:name="_Toc463969158"/>
      <w:r>
        <w:rPr>
          <w:rFonts w:ascii="Times New Roman" w:hAnsi="Times New Roman"/>
          <w:sz w:val="32"/>
          <w:szCs w:val="32"/>
        </w:rPr>
        <w:t>项目背景</w:t>
      </w:r>
      <w:bookmarkEnd w:id="2"/>
      <w:bookmarkEnd w:id="3"/>
      <w:bookmarkEnd w:id="4"/>
      <w:bookmarkEnd w:id="5"/>
      <w:bookmarkEnd w:id="6"/>
    </w:p>
    <w:p>
      <w:pPr>
        <w:pStyle w:val="25"/>
        <w:rPr>
          <w:rFonts w:ascii="Times New Roman" w:hAnsi="Times New Roman" w:eastAsia="宋体" w:cs="Times New Roman"/>
          <w:bCs/>
          <w:color w:val="000000"/>
          <w:sz w:val="32"/>
          <w:szCs w:val="32"/>
        </w:rPr>
      </w:pPr>
      <w:bookmarkStart w:id="7" w:name="_Toc463969434"/>
      <w:bookmarkStart w:id="8" w:name="_Toc357906187"/>
      <w:bookmarkStart w:id="9" w:name="_Toc476140372"/>
      <w:bookmarkStart w:id="10" w:name="_Toc463969159"/>
      <w:r>
        <w:rPr>
          <w:rFonts w:ascii="Times New Roman" w:hAnsi="Times New Roman" w:eastAsia="宋体" w:cs="Times New Roman"/>
          <w:bCs/>
          <w:color w:val="000000"/>
          <w:sz w:val="32"/>
          <w:szCs w:val="32"/>
        </w:rPr>
        <w:t>城维计划-城乡规划勘察-广州市城乡规划用地工程地质勘察与地质环境质量评价项目为经常性项目，城市地质环境质量与安全是城市建设和规划的重要依据，为了有效预防城市建设过程中可能引发的地质环境问题，为重点发展区规划编制提供基础地质依据，</w:t>
      </w:r>
      <w:r>
        <w:rPr>
          <w:rFonts w:ascii="Times New Roman" w:hAnsi="Times New Roman" w:eastAsia="宋体" w:cs="Times New Roman"/>
          <w:sz w:val="32"/>
          <w:szCs w:val="32"/>
        </w:rPr>
        <w:t>广州市规划和自然资源局</w:t>
      </w:r>
      <w:r>
        <w:rPr>
          <w:rFonts w:ascii="Times New Roman" w:hAnsi="Times New Roman" w:eastAsia="宋体" w:cs="Times New Roman"/>
          <w:bCs/>
          <w:color w:val="000000"/>
          <w:sz w:val="32"/>
          <w:szCs w:val="32"/>
        </w:rPr>
        <w:t>从1990年起，为配合各层次规划编制和规划管理，每年有计划安排广州市重点发展地区城市规划工程地质勘察和地质环境质量评价工作，至目前为止已完成广州市规划勘察和地质环境质量评价工作面积近1000平方公里，为广州市规划工作提供了重要的地质环境基础资料和岩土工程、地质工程技术保障。</w:t>
      </w:r>
    </w:p>
    <w:p>
      <w:pPr>
        <w:pStyle w:val="25"/>
        <w:rPr>
          <w:rFonts w:ascii="Times New Roman" w:hAnsi="Times New Roman" w:eastAsia="宋体" w:cs="Times New Roman"/>
          <w:bCs/>
          <w:color w:val="000000"/>
          <w:sz w:val="32"/>
          <w:szCs w:val="32"/>
        </w:rPr>
      </w:pPr>
      <w:r>
        <w:rPr>
          <w:rFonts w:hint="eastAsia" w:ascii="Times New Roman" w:hAnsi="Times New Roman" w:eastAsia="宋体" w:cs="Times New Roman"/>
          <w:bCs/>
          <w:color w:val="000000"/>
          <w:sz w:val="32"/>
          <w:szCs w:val="32"/>
        </w:rPr>
        <w:t>为贯彻落实习近平总书记“两个坚持、三个转变”防灾减灾指导思想，配合广州市战略安全发展规划及广州市科技创新带城市规划设计工作，</w:t>
      </w:r>
      <w:r>
        <w:rPr>
          <w:rFonts w:ascii="Times New Roman" w:hAnsi="Times New Roman" w:eastAsia="宋体" w:cs="Times New Roman"/>
          <w:bCs/>
          <w:color w:val="000000"/>
          <w:sz w:val="32"/>
          <w:szCs w:val="32"/>
        </w:rPr>
        <w:t>2020年城维计划-城乡规划勘察-广州市城乡规划用地工程地质勘察与地质环境质量评价区</w:t>
      </w:r>
      <w:r>
        <w:rPr>
          <w:rFonts w:hint="eastAsia" w:ascii="Times New Roman" w:hAnsi="Times New Roman" w:eastAsia="宋体" w:cs="Times New Roman"/>
          <w:bCs/>
          <w:color w:val="000000"/>
          <w:sz w:val="32"/>
          <w:szCs w:val="32"/>
        </w:rPr>
        <w:t>选定为</w:t>
      </w:r>
      <w:r>
        <w:rPr>
          <w:rFonts w:ascii="Times New Roman" w:hAnsi="Times New Roman" w:eastAsia="宋体" w:cs="Times New Roman"/>
          <w:bCs/>
          <w:color w:val="000000"/>
          <w:sz w:val="32"/>
          <w:szCs w:val="32"/>
        </w:rPr>
        <w:t>广州白云区东部科技创新带，其地质环境条件复杂，可能存在断裂构造、岩溶</w:t>
      </w:r>
      <w:r>
        <w:rPr>
          <w:rFonts w:hint="eastAsia" w:ascii="Times New Roman" w:hAnsi="Times New Roman" w:eastAsia="宋体" w:cs="Times New Roman"/>
          <w:bCs/>
          <w:color w:val="000000"/>
          <w:sz w:val="32"/>
          <w:szCs w:val="32"/>
        </w:rPr>
        <w:t>及风化深槽</w:t>
      </w:r>
      <w:r>
        <w:rPr>
          <w:rFonts w:ascii="Times New Roman" w:hAnsi="Times New Roman" w:eastAsia="宋体" w:cs="Times New Roman"/>
          <w:bCs/>
          <w:color w:val="000000"/>
          <w:sz w:val="32"/>
          <w:szCs w:val="32"/>
        </w:rPr>
        <w:t>、液化沙土、震陷软土等不良地质作用，以及岩层埋深变化大等潜在不良地质作用等客观情况，规划编制如何考虑到这些客观条件，对日后规划能否最后成功实施至关重要。为在控规层面合理利用该地区有限的土地资源，充分发挥高质量土地资源的开发潜力，控制低质量地质环境区域土地的开发利用，降低城市建设风险和成本，有效预防城市建设过程中可能引发的地质环境问题，为该重点发展区规划编制提供基础地质学依据。</w:t>
      </w:r>
      <w:r>
        <w:rPr>
          <w:rFonts w:ascii="Times New Roman" w:hAnsi="Times New Roman" w:eastAsia="宋体" w:cs="Times New Roman"/>
          <w:sz w:val="32"/>
          <w:szCs w:val="32"/>
        </w:rPr>
        <w:t>广州市规划和自然资源局</w:t>
      </w:r>
      <w:r>
        <w:rPr>
          <w:rFonts w:ascii="Times New Roman" w:hAnsi="Times New Roman" w:eastAsia="宋体" w:cs="Times New Roman"/>
          <w:bCs/>
          <w:color w:val="000000"/>
          <w:sz w:val="32"/>
          <w:szCs w:val="32"/>
        </w:rPr>
        <w:t>拟开展中新广州白云区东部科技创新带重点发展区约180平方公里地块工程地质勘察与地质环境质量评价工作，将地质环境因素纳入城市规划体系，提高规划布局的科学性、可行性、经济性，辅助规划选址决策，减轻地质灾害对城市建设的影响。</w:t>
      </w:r>
    </w:p>
    <w:p>
      <w:pPr>
        <w:pStyle w:val="2"/>
        <w:numPr>
          <w:ilvl w:val="0"/>
          <w:numId w:val="1"/>
        </w:numPr>
        <w:spacing w:before="312" w:beforeLines="100"/>
        <w:rPr>
          <w:rFonts w:ascii="Times New Roman" w:hAnsi="Times New Roman"/>
          <w:sz w:val="32"/>
          <w:szCs w:val="32"/>
        </w:rPr>
      </w:pPr>
      <w:bookmarkStart w:id="11" w:name="_Toc29020216"/>
      <w:bookmarkStart w:id="12" w:name="_Toc536609779"/>
      <w:r>
        <w:rPr>
          <w:rFonts w:ascii="Times New Roman" w:hAnsi="Times New Roman"/>
          <w:sz w:val="32"/>
          <w:szCs w:val="32"/>
        </w:rPr>
        <w:t>目标任务</w:t>
      </w:r>
      <w:bookmarkEnd w:id="11"/>
      <w:bookmarkEnd w:id="12"/>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运用工程地质学、土力学与基础工程学、数理统计理论，在充分收集、整合已有第四纪地质、水文地质、工程地质和岩土工程勘察资料的基础上，开展区域工程地质调查和补充工程地质钻探，重点查明重点规划区内已发生和潜在的建设工程地质灾害状况，查明评价区地质环境条件、不良地质作用及地质灾害的发育状况，查明区域工程地质单元和第四纪松散层、基岩面和基岩0～30m深度的物质组成、结构、物性及空间展布特征，确定工程地质单位，系统分析勘察和资料收集中获得的物理力学指标、地质条件，综合分析、研究、评价天然基础、桩基持力层。围绕广州城市发展所面临的或亟待解决的城市地质环境问题，完成重点规划区地质环境质量评价，为广州市城市发展规划、建设和管理提供地质科学依据，为社会公众信息需求提供服务，为资源可持续利用和城市可持续发展提供工程地质资料和技术保障。</w:t>
      </w:r>
    </w:p>
    <w:p>
      <w:pPr>
        <w:pStyle w:val="2"/>
        <w:numPr>
          <w:ilvl w:val="0"/>
          <w:numId w:val="1"/>
        </w:numPr>
        <w:spacing w:before="312" w:beforeLines="100"/>
        <w:rPr>
          <w:rFonts w:ascii="Times New Roman" w:hAnsi="Times New Roman"/>
          <w:sz w:val="32"/>
          <w:szCs w:val="32"/>
        </w:rPr>
      </w:pPr>
      <w:bookmarkStart w:id="13" w:name="_Toc29020217"/>
      <w:bookmarkStart w:id="14" w:name="_Toc536609780"/>
      <w:r>
        <w:rPr>
          <w:rFonts w:ascii="Times New Roman" w:hAnsi="Times New Roman"/>
          <w:sz w:val="32"/>
          <w:szCs w:val="32"/>
        </w:rPr>
        <w:t>承接人资质要求</w:t>
      </w:r>
      <w:bookmarkEnd w:id="13"/>
      <w:bookmarkEnd w:id="14"/>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具有工程勘察综合类甲级或工程勘察专业（岩土工程）甲级资质。</w:t>
      </w:r>
    </w:p>
    <w:p>
      <w:pPr>
        <w:pStyle w:val="2"/>
        <w:numPr>
          <w:ilvl w:val="0"/>
          <w:numId w:val="1"/>
        </w:numPr>
        <w:spacing w:before="312" w:beforeLines="100"/>
        <w:rPr>
          <w:rFonts w:ascii="Times New Roman" w:hAnsi="Times New Roman"/>
          <w:sz w:val="32"/>
          <w:szCs w:val="32"/>
        </w:rPr>
      </w:pPr>
      <w:bookmarkStart w:id="15" w:name="_Toc536609781"/>
      <w:bookmarkStart w:id="16" w:name="_Toc29020218"/>
      <w:r>
        <w:rPr>
          <w:rFonts w:ascii="Times New Roman" w:hAnsi="Times New Roman"/>
          <w:sz w:val="32"/>
          <w:szCs w:val="32"/>
        </w:rPr>
        <w:t>评价工作范围</w:t>
      </w:r>
      <w:bookmarkEnd w:id="15"/>
      <w:bookmarkEnd w:id="16"/>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2020年主要对</w:t>
      </w:r>
      <w:bookmarkStart w:id="17" w:name="_Hlk528659360"/>
      <w:r>
        <w:rPr>
          <w:rFonts w:ascii="Times New Roman" w:hAnsi="Times New Roman" w:eastAsia="宋体" w:cs="Times New Roman"/>
          <w:bCs/>
          <w:color w:val="000000"/>
          <w:sz w:val="32"/>
          <w:szCs w:val="32"/>
        </w:rPr>
        <w:t>广州白云区东部科技创新带等重点发展区进行工程地质勘察与地质环境质量评价，工作区总面积约180平方公里</w:t>
      </w:r>
      <w:bookmarkEnd w:id="17"/>
      <w:r>
        <w:rPr>
          <w:rFonts w:hint="eastAsia" w:ascii="Times New Roman" w:hAnsi="Times New Roman" w:eastAsia="宋体" w:cs="Times New Roman"/>
          <w:bCs/>
          <w:color w:val="000000"/>
          <w:sz w:val="32"/>
          <w:szCs w:val="32"/>
        </w:rPr>
        <w:t>（详见附图）</w:t>
      </w:r>
      <w:r>
        <w:rPr>
          <w:rFonts w:ascii="Times New Roman" w:hAnsi="Times New Roman" w:eastAsia="宋体" w:cs="Times New Roman"/>
          <w:bCs/>
          <w:color w:val="000000"/>
          <w:sz w:val="32"/>
          <w:szCs w:val="32"/>
        </w:rPr>
        <w:t>。</w:t>
      </w:r>
      <w:bookmarkEnd w:id="7"/>
      <w:bookmarkEnd w:id="8"/>
      <w:bookmarkEnd w:id="9"/>
      <w:bookmarkEnd w:id="10"/>
    </w:p>
    <w:p>
      <w:pPr>
        <w:pStyle w:val="2"/>
        <w:numPr>
          <w:ilvl w:val="0"/>
          <w:numId w:val="1"/>
        </w:numPr>
        <w:spacing w:before="312" w:beforeLines="100"/>
        <w:rPr>
          <w:rFonts w:ascii="Times New Roman" w:hAnsi="Times New Roman"/>
          <w:sz w:val="32"/>
          <w:szCs w:val="32"/>
        </w:rPr>
      </w:pPr>
      <w:bookmarkStart w:id="18" w:name="_Toc536609782"/>
      <w:bookmarkStart w:id="19" w:name="_Toc29020219"/>
      <w:r>
        <w:rPr>
          <w:rFonts w:ascii="Times New Roman" w:hAnsi="Times New Roman"/>
          <w:sz w:val="32"/>
          <w:szCs w:val="32"/>
        </w:rPr>
        <w:t>服务期限</w:t>
      </w:r>
      <w:bookmarkEnd w:id="18"/>
      <w:bookmarkEnd w:id="19"/>
    </w:p>
    <w:p>
      <w:pPr>
        <w:pStyle w:val="25"/>
        <w:rPr>
          <w:rFonts w:ascii="Times New Roman" w:hAnsi="Times New Roman" w:eastAsia="宋体" w:cs="Times New Roman"/>
          <w:bCs/>
          <w:color w:val="000000"/>
          <w:sz w:val="32"/>
          <w:szCs w:val="32"/>
        </w:rPr>
      </w:pPr>
      <w:r>
        <w:rPr>
          <w:rFonts w:ascii="Times New Roman" w:hAnsi="Times New Roman" w:eastAsia="宋体" w:cs="Times New Roman"/>
          <w:kern w:val="28"/>
          <w:sz w:val="32"/>
          <w:szCs w:val="32"/>
        </w:rPr>
        <w:t>从签订合同日至2020年10月31日</w:t>
      </w:r>
      <w:r>
        <w:rPr>
          <w:rFonts w:hint="eastAsia" w:ascii="Times New Roman" w:hAnsi="Times New Roman" w:eastAsia="宋体" w:cs="Times New Roman"/>
          <w:kern w:val="28"/>
          <w:sz w:val="32"/>
          <w:szCs w:val="32"/>
        </w:rPr>
        <w:t>，其中中期成果验收时间节点：2020年8月31日前，最终成果验收时间节点：2020年10月31日前</w:t>
      </w:r>
      <w:r>
        <w:rPr>
          <w:rFonts w:ascii="Times New Roman" w:hAnsi="Times New Roman" w:eastAsia="宋体" w:cs="Times New Roman"/>
          <w:kern w:val="28"/>
          <w:sz w:val="32"/>
          <w:szCs w:val="32"/>
        </w:rPr>
        <w:t>。</w:t>
      </w:r>
    </w:p>
    <w:p>
      <w:pPr>
        <w:pStyle w:val="2"/>
        <w:numPr>
          <w:ilvl w:val="0"/>
          <w:numId w:val="1"/>
        </w:numPr>
        <w:tabs>
          <w:tab w:val="left" w:pos="709"/>
        </w:tabs>
        <w:spacing w:before="312" w:beforeLines="100"/>
        <w:rPr>
          <w:rFonts w:ascii="Times New Roman" w:hAnsi="Times New Roman"/>
          <w:sz w:val="32"/>
          <w:szCs w:val="32"/>
        </w:rPr>
      </w:pPr>
      <w:bookmarkStart w:id="20" w:name="_Toc29020220"/>
      <w:bookmarkStart w:id="21" w:name="_Toc536609783"/>
      <w:bookmarkStart w:id="22" w:name="_Toc476140378"/>
      <w:bookmarkStart w:id="23" w:name="_Toc463969440"/>
      <w:bookmarkStart w:id="24" w:name="_Toc463969165"/>
      <w:r>
        <w:rPr>
          <w:rFonts w:ascii="Times New Roman" w:hAnsi="Times New Roman"/>
          <w:sz w:val="32"/>
          <w:szCs w:val="32"/>
        </w:rPr>
        <w:t>项目依据及技术标准</w:t>
      </w:r>
      <w:bookmarkEnd w:id="20"/>
      <w:bookmarkEnd w:id="21"/>
    </w:p>
    <w:bookmarkEnd w:id="22"/>
    <w:bookmarkEnd w:id="23"/>
    <w:bookmarkEnd w:id="24"/>
    <w:p>
      <w:pPr>
        <w:pStyle w:val="25"/>
        <w:rPr>
          <w:rFonts w:ascii="Times New Roman" w:hAnsi="Times New Roman" w:eastAsia="宋体" w:cs="Times New Roman"/>
          <w:bCs/>
          <w:color w:val="000000"/>
          <w:sz w:val="32"/>
          <w:szCs w:val="32"/>
        </w:rPr>
      </w:pPr>
      <w:bookmarkStart w:id="25" w:name="_Toc476140380"/>
      <w:bookmarkStart w:id="26" w:name="_Toc463969167"/>
      <w:bookmarkStart w:id="27" w:name="_Toc463969442"/>
      <w:r>
        <w:rPr>
          <w:rFonts w:ascii="Times New Roman" w:hAnsi="Times New Roman" w:eastAsia="宋体" w:cs="Times New Roman"/>
          <w:bCs/>
          <w:color w:val="000000"/>
          <w:sz w:val="32"/>
          <w:szCs w:val="32"/>
        </w:rPr>
        <w:t>1、建设部行业标准 《城市规划工程地质勘察规范》（CJJ57－2012）；</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2、国家标准 《岩土工程勘察规范》（GB50021-2001）（2009年版）；</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3、地矿行业标准 《区域地质调查总则1:5000》（DZ/T0001-1991）；</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4、地矿行业标准 《地质图用色标准及用色原则1:5000》（DZ/T0179-1997）；</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5、地矿行业标准 《浅覆盖区区域地质调查细则1：5000》（DZ/T0158-1995）；</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6、地矿行业标准 《地质灾害分类分级(试行)》（DZ0238-2004）。</w:t>
      </w:r>
    </w:p>
    <w:bookmarkEnd w:id="25"/>
    <w:bookmarkEnd w:id="26"/>
    <w:bookmarkEnd w:id="27"/>
    <w:p>
      <w:pPr>
        <w:pStyle w:val="2"/>
        <w:numPr>
          <w:ilvl w:val="0"/>
          <w:numId w:val="1"/>
        </w:numPr>
        <w:tabs>
          <w:tab w:val="left" w:pos="709"/>
        </w:tabs>
        <w:spacing w:before="312" w:beforeLines="100"/>
        <w:rPr>
          <w:rFonts w:ascii="Times New Roman" w:hAnsi="Times New Roman"/>
          <w:sz w:val="32"/>
          <w:szCs w:val="32"/>
        </w:rPr>
      </w:pPr>
      <w:bookmarkStart w:id="28" w:name="_Toc536609784"/>
      <w:bookmarkStart w:id="29" w:name="_Toc29020221"/>
      <w:bookmarkStart w:id="30" w:name="_Toc463969443"/>
      <w:bookmarkStart w:id="31" w:name="_Toc463969168"/>
      <w:r>
        <w:rPr>
          <w:rFonts w:ascii="Times New Roman" w:hAnsi="Times New Roman"/>
          <w:sz w:val="32"/>
          <w:szCs w:val="32"/>
        </w:rPr>
        <w:t>主要工作内容与要求</w:t>
      </w:r>
      <w:bookmarkEnd w:id="28"/>
      <w:bookmarkEnd w:id="29"/>
    </w:p>
    <w:p>
      <w:pPr>
        <w:spacing w:line="360" w:lineRule="auto"/>
        <w:ind w:firstLine="640" w:firstLineChars="200"/>
        <w:rPr>
          <w:sz w:val="32"/>
          <w:szCs w:val="32"/>
        </w:rPr>
      </w:pPr>
      <w:r>
        <w:rPr>
          <w:sz w:val="32"/>
          <w:szCs w:val="32"/>
        </w:rPr>
        <w:t>1、工程地质调查与资料收集</w:t>
      </w:r>
    </w:p>
    <w:p>
      <w:pPr>
        <w:spacing w:line="360" w:lineRule="auto"/>
        <w:ind w:firstLine="640" w:firstLineChars="200"/>
        <w:rPr>
          <w:sz w:val="32"/>
          <w:szCs w:val="32"/>
        </w:rPr>
      </w:pPr>
      <w:r>
        <w:rPr>
          <w:sz w:val="32"/>
          <w:szCs w:val="32"/>
        </w:rPr>
        <w:t>1）方法与精度要求</w:t>
      </w:r>
    </w:p>
    <w:p>
      <w:pPr>
        <w:spacing w:line="360" w:lineRule="auto"/>
        <w:ind w:firstLine="640" w:firstLineChars="200"/>
        <w:rPr>
          <w:sz w:val="32"/>
          <w:szCs w:val="32"/>
        </w:rPr>
      </w:pPr>
      <w:r>
        <w:rPr>
          <w:sz w:val="32"/>
          <w:szCs w:val="32"/>
        </w:rPr>
        <w:t>结合广州城市规划和以往工程地质的勘察程度，调查以收集、整理、分析已有区域工程地质、岩土工程勘察及测绘资料为主，辅以必要的勘探、测试工作。</w:t>
      </w:r>
    </w:p>
    <w:p>
      <w:pPr>
        <w:spacing w:line="360" w:lineRule="auto"/>
        <w:ind w:firstLine="640" w:firstLineChars="200"/>
        <w:rPr>
          <w:sz w:val="32"/>
          <w:szCs w:val="32"/>
        </w:rPr>
      </w:pPr>
      <w:r>
        <w:rPr>
          <w:sz w:val="32"/>
          <w:szCs w:val="32"/>
        </w:rPr>
        <w:t>2）资料的收集与筛选</w:t>
      </w:r>
    </w:p>
    <w:p>
      <w:pPr>
        <w:spacing w:line="360" w:lineRule="auto"/>
        <w:ind w:firstLine="640" w:firstLineChars="200"/>
        <w:rPr>
          <w:sz w:val="32"/>
          <w:szCs w:val="32"/>
        </w:rPr>
      </w:pPr>
      <w:r>
        <w:rPr>
          <w:sz w:val="32"/>
          <w:szCs w:val="32"/>
        </w:rPr>
        <w:t>根据调查精度要求对现有勘探孔资料进行有重点、分主次收集。勘探孔资料要求资料丰富齐全、具有代表性，一般可按单体工程的综合性勘探孔、静力触探孔进行收集。</w:t>
      </w:r>
    </w:p>
    <w:p>
      <w:pPr>
        <w:spacing w:line="360" w:lineRule="auto"/>
        <w:ind w:firstLine="640" w:firstLineChars="200"/>
        <w:rPr>
          <w:sz w:val="32"/>
          <w:szCs w:val="32"/>
        </w:rPr>
      </w:pPr>
      <w:r>
        <w:rPr>
          <w:sz w:val="32"/>
          <w:szCs w:val="32"/>
        </w:rPr>
        <w:t>3）资料分析与研究</w:t>
      </w:r>
    </w:p>
    <w:p>
      <w:pPr>
        <w:spacing w:line="360" w:lineRule="auto"/>
        <w:ind w:firstLine="640" w:firstLineChars="200"/>
        <w:rPr>
          <w:sz w:val="32"/>
          <w:szCs w:val="32"/>
        </w:rPr>
      </w:pPr>
      <w:r>
        <w:rPr>
          <w:sz w:val="32"/>
          <w:szCs w:val="32"/>
        </w:rPr>
        <w:t>对勘探孔资料进行全面分析与对比，对工程地质层进行研究和归一化整理，建立工程地质填图单元和工程地质结构标准层序，建立工程地质结构模型。</w:t>
      </w:r>
    </w:p>
    <w:p>
      <w:pPr>
        <w:spacing w:line="360" w:lineRule="auto"/>
        <w:ind w:firstLine="640" w:firstLineChars="200"/>
        <w:rPr>
          <w:sz w:val="32"/>
          <w:szCs w:val="32"/>
        </w:rPr>
      </w:pPr>
      <w:r>
        <w:rPr>
          <w:sz w:val="32"/>
          <w:szCs w:val="32"/>
        </w:rPr>
        <w:t>2、工程地质钻探</w:t>
      </w:r>
    </w:p>
    <w:p>
      <w:pPr>
        <w:spacing w:line="360" w:lineRule="auto"/>
        <w:ind w:firstLine="640" w:firstLineChars="200"/>
        <w:rPr>
          <w:sz w:val="32"/>
          <w:szCs w:val="32"/>
        </w:rPr>
      </w:pPr>
      <w:r>
        <w:rPr>
          <w:sz w:val="32"/>
          <w:szCs w:val="32"/>
        </w:rPr>
        <w:t>对未满足综合编图精度要求地区或盲点、疑点地区，补充适量勘探、取原状土样、进行现场测试（标准贯入试验、圆锥动力触探试验等）</w:t>
      </w:r>
      <w:r>
        <w:rPr>
          <w:rFonts w:hint="eastAsia"/>
          <w:sz w:val="32"/>
          <w:szCs w:val="32"/>
        </w:rPr>
        <w:t>，对于岩溶发育区，可优先选用物探方法，指导地质钻探选点</w:t>
      </w:r>
      <w:r>
        <w:rPr>
          <w:sz w:val="32"/>
          <w:szCs w:val="32"/>
        </w:rPr>
        <w:t>。</w:t>
      </w:r>
    </w:p>
    <w:p>
      <w:pPr>
        <w:spacing w:line="360" w:lineRule="auto"/>
        <w:ind w:firstLine="640" w:firstLineChars="200"/>
        <w:rPr>
          <w:sz w:val="32"/>
          <w:szCs w:val="32"/>
        </w:rPr>
      </w:pPr>
      <w:r>
        <w:rPr>
          <w:sz w:val="32"/>
          <w:szCs w:val="32"/>
        </w:rPr>
        <w:t>根据区域工程地质条件和结构分区特点、研究目标和精度要求及手段的有效性，采用机械岩芯钻，遵循成本投入的合理性与工程布置有效性原则进行方案的部署。</w:t>
      </w:r>
    </w:p>
    <w:p>
      <w:pPr>
        <w:spacing w:line="360" w:lineRule="auto"/>
        <w:ind w:firstLine="640" w:firstLineChars="200"/>
        <w:rPr>
          <w:sz w:val="32"/>
          <w:szCs w:val="32"/>
        </w:rPr>
      </w:pPr>
      <w:r>
        <w:rPr>
          <w:sz w:val="32"/>
          <w:szCs w:val="32"/>
        </w:rPr>
        <w:t>1）钻孔布置基本原则</w:t>
      </w:r>
    </w:p>
    <w:p>
      <w:pPr>
        <w:spacing w:line="360" w:lineRule="auto"/>
        <w:ind w:firstLine="640" w:firstLineChars="200"/>
        <w:rPr>
          <w:sz w:val="32"/>
          <w:szCs w:val="32"/>
        </w:rPr>
      </w:pPr>
      <w:r>
        <w:rPr>
          <w:sz w:val="32"/>
          <w:szCs w:val="32"/>
        </w:rPr>
        <w:t>根据调查目的和要求，勘探孔采用机械岩芯钻，钻孔按工程地质结构调查要求分为技术孔和鉴别孔；分析研究可利用钻孔的空间分布状况，对钻孔空白区、盲点、疑问点和突变点进行部署，以满足网度控制要求（每平方公里钻孔8个以上）。</w:t>
      </w:r>
    </w:p>
    <w:p>
      <w:pPr>
        <w:spacing w:line="360" w:lineRule="auto"/>
        <w:ind w:firstLine="640" w:firstLineChars="200"/>
        <w:rPr>
          <w:sz w:val="32"/>
          <w:szCs w:val="32"/>
        </w:rPr>
      </w:pPr>
      <w:r>
        <w:rPr>
          <w:sz w:val="32"/>
          <w:szCs w:val="32"/>
        </w:rPr>
        <w:t>2）勘探深度</w:t>
      </w:r>
    </w:p>
    <w:p>
      <w:pPr>
        <w:spacing w:line="360" w:lineRule="auto"/>
        <w:ind w:firstLine="640" w:firstLineChars="200"/>
        <w:rPr>
          <w:sz w:val="32"/>
          <w:szCs w:val="32"/>
        </w:rPr>
      </w:pPr>
      <w:r>
        <w:rPr>
          <w:sz w:val="32"/>
          <w:szCs w:val="32"/>
        </w:rPr>
        <w:t>广州第四纪松散层厚度一般在30m以内，部分地区超过40m，根据重大工程采用的主要持力层特点，钻孔深度均按进入中等风化或微风化基岩3～5m即可。因此，一般情况下，钻孔的钻探深度控制在40m左右，对于风化凹槽处的孔深可适当加深。</w:t>
      </w:r>
    </w:p>
    <w:p>
      <w:pPr>
        <w:spacing w:line="360" w:lineRule="auto"/>
        <w:ind w:firstLine="640" w:firstLineChars="200"/>
        <w:rPr>
          <w:sz w:val="32"/>
          <w:szCs w:val="32"/>
        </w:rPr>
      </w:pPr>
      <w:r>
        <w:rPr>
          <w:sz w:val="32"/>
          <w:szCs w:val="32"/>
        </w:rPr>
        <w:t>3）钻探技术要求</w:t>
      </w:r>
    </w:p>
    <w:p>
      <w:pPr>
        <w:spacing w:line="360" w:lineRule="auto"/>
        <w:ind w:firstLine="640" w:firstLineChars="200"/>
        <w:rPr>
          <w:sz w:val="32"/>
          <w:szCs w:val="32"/>
        </w:rPr>
      </w:pPr>
      <w:r>
        <w:rPr>
          <w:sz w:val="32"/>
          <w:szCs w:val="32"/>
        </w:rPr>
        <w:t>执行国家现行钻探工艺规程要求。</w:t>
      </w:r>
    </w:p>
    <w:p>
      <w:pPr>
        <w:spacing w:line="360" w:lineRule="auto"/>
        <w:ind w:firstLine="640" w:firstLineChars="200"/>
        <w:rPr>
          <w:sz w:val="32"/>
          <w:szCs w:val="32"/>
        </w:rPr>
      </w:pPr>
      <w:r>
        <w:rPr>
          <w:sz w:val="32"/>
          <w:szCs w:val="32"/>
        </w:rPr>
        <w:t>3、场地波速测试</w:t>
      </w:r>
    </w:p>
    <w:p>
      <w:pPr>
        <w:spacing w:line="360" w:lineRule="auto"/>
        <w:ind w:firstLine="640" w:firstLineChars="200"/>
        <w:rPr>
          <w:sz w:val="32"/>
          <w:szCs w:val="32"/>
        </w:rPr>
      </w:pPr>
      <w:r>
        <w:rPr>
          <w:sz w:val="32"/>
          <w:szCs w:val="32"/>
        </w:rPr>
        <w:t>在不同地质单元各选取1-2个钻孔进行岩土层声波波速测试，进行场地土类型定量划分，确定场地土和场地类别。</w:t>
      </w:r>
    </w:p>
    <w:p>
      <w:pPr>
        <w:spacing w:line="360" w:lineRule="auto"/>
        <w:ind w:firstLine="640" w:firstLineChars="200"/>
        <w:rPr>
          <w:sz w:val="32"/>
          <w:szCs w:val="32"/>
        </w:rPr>
      </w:pPr>
      <w:r>
        <w:rPr>
          <w:sz w:val="32"/>
          <w:szCs w:val="32"/>
        </w:rPr>
        <w:t>4、调查资料综合分析</w:t>
      </w:r>
    </w:p>
    <w:p>
      <w:pPr>
        <w:spacing w:line="360" w:lineRule="auto"/>
        <w:ind w:firstLine="640" w:firstLineChars="200"/>
        <w:rPr>
          <w:sz w:val="32"/>
          <w:szCs w:val="32"/>
        </w:rPr>
      </w:pPr>
      <w:r>
        <w:rPr>
          <w:sz w:val="32"/>
          <w:szCs w:val="32"/>
        </w:rPr>
        <w:t>对所收集的基础图件、勘探孔资料和工程地质测绘资料及补充勘探资料进行全面分析与对比进行客观分析,逐项检查核对分析代表性、规律性和合理性, 对主要的地质界线进行校核，对工程地质层进行研究和归一化整理，可分为定性统计和定量数据统计,建立工程地质填图单元和工程地质结构标准层序，建立各重点规划区工程地质结构模型。</w:t>
      </w:r>
    </w:p>
    <w:p>
      <w:pPr>
        <w:spacing w:line="360" w:lineRule="auto"/>
        <w:ind w:firstLine="640" w:firstLineChars="200"/>
        <w:rPr>
          <w:sz w:val="32"/>
          <w:szCs w:val="32"/>
        </w:rPr>
      </w:pPr>
      <w:r>
        <w:rPr>
          <w:sz w:val="32"/>
          <w:szCs w:val="32"/>
        </w:rPr>
        <w:t>对工程地质单位划分可参照以下原则:</w:t>
      </w:r>
    </w:p>
    <w:p>
      <w:pPr>
        <w:spacing w:line="360" w:lineRule="auto"/>
        <w:ind w:firstLine="640" w:firstLineChars="200"/>
        <w:rPr>
          <w:sz w:val="32"/>
          <w:szCs w:val="32"/>
        </w:rPr>
      </w:pPr>
      <w:r>
        <w:rPr>
          <w:sz w:val="32"/>
          <w:szCs w:val="32"/>
        </w:rPr>
        <w:t>（1）具有同一地质时代、成因类型，并处于同一构造部位、地貌单元岩层；</w:t>
      </w:r>
    </w:p>
    <w:p>
      <w:pPr>
        <w:spacing w:line="360" w:lineRule="auto"/>
        <w:ind w:firstLine="640" w:firstLineChars="200"/>
        <w:rPr>
          <w:sz w:val="32"/>
          <w:szCs w:val="32"/>
        </w:rPr>
      </w:pPr>
      <w:r>
        <w:rPr>
          <w:sz w:val="32"/>
          <w:szCs w:val="32"/>
        </w:rPr>
        <w:t>（2）具有基本相同的岩性特征—矿物成份、结构构造、风化程度、物理力学性能与建筑性能相近的岩性；</w:t>
      </w:r>
    </w:p>
    <w:p>
      <w:pPr>
        <w:spacing w:line="360" w:lineRule="auto"/>
        <w:ind w:firstLine="640" w:firstLineChars="200"/>
        <w:rPr>
          <w:sz w:val="32"/>
          <w:szCs w:val="32"/>
        </w:rPr>
      </w:pPr>
      <w:r>
        <w:rPr>
          <w:sz w:val="32"/>
          <w:szCs w:val="32"/>
        </w:rPr>
        <w:t>（3）其它影响岩土体工程地质的因素基本相似；</w:t>
      </w:r>
    </w:p>
    <w:p>
      <w:pPr>
        <w:spacing w:line="360" w:lineRule="auto"/>
        <w:ind w:firstLine="640" w:firstLineChars="200"/>
        <w:rPr>
          <w:sz w:val="32"/>
          <w:szCs w:val="32"/>
        </w:rPr>
      </w:pPr>
      <w:r>
        <w:rPr>
          <w:sz w:val="32"/>
          <w:szCs w:val="32"/>
        </w:rPr>
        <w:t>将观察的数据、测试的成果按已划分的工程地质单位进行归纳、分类、列表统计；具体统计计算方法应符合国家规范要求。</w:t>
      </w:r>
    </w:p>
    <w:p>
      <w:pPr>
        <w:spacing w:line="360" w:lineRule="auto"/>
        <w:ind w:firstLine="640" w:firstLineChars="200"/>
        <w:rPr>
          <w:sz w:val="32"/>
          <w:szCs w:val="32"/>
        </w:rPr>
      </w:pPr>
      <w:r>
        <w:rPr>
          <w:sz w:val="32"/>
          <w:szCs w:val="32"/>
        </w:rPr>
        <w:t>5、地质环境质量评价</w:t>
      </w:r>
    </w:p>
    <w:p>
      <w:pPr>
        <w:spacing w:line="360" w:lineRule="auto"/>
        <w:ind w:firstLine="640" w:firstLineChars="200"/>
        <w:rPr>
          <w:sz w:val="32"/>
          <w:szCs w:val="32"/>
        </w:rPr>
      </w:pPr>
      <w:r>
        <w:rPr>
          <w:sz w:val="32"/>
          <w:szCs w:val="32"/>
        </w:rPr>
        <w:t>（1）地质环境质量综合分析评价应包括规划区自然地理概况、区域地质构造、岩土工程条件、水文地质条件、不良地质作用与地质灾害等方面的内容。</w:t>
      </w:r>
    </w:p>
    <w:p>
      <w:pPr>
        <w:spacing w:line="360" w:lineRule="auto"/>
        <w:ind w:firstLine="640" w:firstLineChars="200"/>
        <w:rPr>
          <w:sz w:val="32"/>
          <w:szCs w:val="32"/>
        </w:rPr>
      </w:pPr>
      <w:r>
        <w:rPr>
          <w:sz w:val="32"/>
          <w:szCs w:val="32"/>
        </w:rPr>
        <w:t>（2）地质环境质量评价应采用定性评价和定量评价两种方式。地质环境质量评价的成果，应包括地质环境质量评价报告和地质环境质量评价专题图两部分。专题图比例尺按1/10000精度制作。</w:t>
      </w:r>
    </w:p>
    <w:p>
      <w:pPr>
        <w:spacing w:line="360" w:lineRule="auto"/>
        <w:ind w:firstLine="640" w:firstLineChars="200"/>
        <w:rPr>
          <w:sz w:val="32"/>
          <w:szCs w:val="32"/>
        </w:rPr>
      </w:pPr>
      <w:r>
        <w:rPr>
          <w:sz w:val="32"/>
          <w:szCs w:val="32"/>
        </w:rPr>
        <w:t>（3）对规划区内各建筑地段的稳定性做出评价，并进行工程建设适宜性和经济性分析，为规划区房屋建筑、市政工程、公用事业、园林绿化、环境卫生及其它公共设施的总平面布置等提供地质环境学依据，为城市设计工作提出专业指导意见。</w:t>
      </w:r>
    </w:p>
    <w:p>
      <w:pPr>
        <w:spacing w:line="360" w:lineRule="auto"/>
        <w:ind w:firstLine="640" w:firstLineChars="200"/>
        <w:rPr>
          <w:sz w:val="32"/>
          <w:szCs w:val="32"/>
        </w:rPr>
      </w:pPr>
      <w:r>
        <w:rPr>
          <w:sz w:val="32"/>
          <w:szCs w:val="32"/>
        </w:rPr>
        <w:t>6、综合评价成果的信息化处理</w:t>
      </w:r>
    </w:p>
    <w:p>
      <w:pPr>
        <w:spacing w:line="360" w:lineRule="auto"/>
        <w:ind w:firstLine="640" w:firstLineChars="200"/>
        <w:rPr>
          <w:sz w:val="32"/>
          <w:szCs w:val="32"/>
        </w:rPr>
      </w:pPr>
      <w:r>
        <w:rPr>
          <w:sz w:val="32"/>
          <w:szCs w:val="32"/>
        </w:rPr>
        <w:t>本次工程地质勘察与地质环境质量评价资料整理将利用GIS技术，成果将整合接入广州市规划和自然资源局自动化办公统一信息平台，直接为规划管理、设计人员提供实时查询，进一步推进科学化、精细化、品质化城乡规划设计。</w:t>
      </w:r>
    </w:p>
    <w:p>
      <w:pPr>
        <w:pStyle w:val="2"/>
        <w:numPr>
          <w:ilvl w:val="0"/>
          <w:numId w:val="1"/>
        </w:numPr>
        <w:tabs>
          <w:tab w:val="left" w:pos="709"/>
        </w:tabs>
        <w:spacing w:before="312" w:beforeLines="100"/>
        <w:rPr>
          <w:rFonts w:ascii="Times New Roman" w:hAnsi="Times New Roman"/>
          <w:sz w:val="32"/>
          <w:szCs w:val="32"/>
        </w:rPr>
      </w:pPr>
      <w:bookmarkStart w:id="32" w:name="_Toc536609785"/>
      <w:bookmarkStart w:id="33" w:name="_Toc29020222"/>
      <w:r>
        <w:rPr>
          <w:rFonts w:ascii="Times New Roman" w:hAnsi="Times New Roman"/>
          <w:sz w:val="32"/>
          <w:szCs w:val="32"/>
        </w:rPr>
        <w:t>预期成果</w:t>
      </w:r>
      <w:bookmarkEnd w:id="32"/>
      <w:bookmarkEnd w:id="33"/>
    </w:p>
    <w:p>
      <w:pPr>
        <w:spacing w:line="360" w:lineRule="auto"/>
        <w:ind w:firstLine="640" w:firstLineChars="200"/>
        <w:rPr>
          <w:sz w:val="32"/>
          <w:szCs w:val="32"/>
        </w:rPr>
      </w:pPr>
      <w:r>
        <w:rPr>
          <w:sz w:val="32"/>
          <w:szCs w:val="32"/>
        </w:rPr>
        <w:t>“城乡规划用地工程地质勘察与地质环境质量评价”报告要严格按照中国工程建设标准协会标准《岩土工程勘察报告编制标准》以及建设部《房屋建筑和市政基础设施工程勘察文件编制深度规定》进行编制，应符合现行国家或地方的有关标准规范，反映场地实际情况，具有预见性和针对性。成果包括：文字报告和系列工程地质图件。要达到如下目的：</w:t>
      </w:r>
    </w:p>
    <w:p>
      <w:pPr>
        <w:spacing w:line="360" w:lineRule="auto"/>
        <w:ind w:firstLine="640" w:firstLineChars="200"/>
        <w:rPr>
          <w:sz w:val="32"/>
          <w:szCs w:val="32"/>
        </w:rPr>
      </w:pPr>
      <w:r>
        <w:rPr>
          <w:sz w:val="32"/>
          <w:szCs w:val="32"/>
        </w:rPr>
        <w:t xml:space="preserve">1）为规划管理和设计人员提供基础性地质环境研究成果，使其在规划编制过程中，能充分利用高质量土地资源与环境资源的开发潜力，控制低质量地质环境区域的土地开发和利用，防止地质环境进一步恶化。 </w:t>
      </w:r>
    </w:p>
    <w:p>
      <w:pPr>
        <w:spacing w:line="360" w:lineRule="auto"/>
        <w:ind w:firstLine="640" w:firstLineChars="200"/>
        <w:rPr>
          <w:sz w:val="32"/>
          <w:szCs w:val="32"/>
        </w:rPr>
      </w:pPr>
      <w:r>
        <w:rPr>
          <w:sz w:val="32"/>
          <w:szCs w:val="32"/>
        </w:rPr>
        <w:t>2）为城市规划提供地质环境学技术支撑，最大限度地降低城市开发的风险和成本，提高城市规划和建设方案的合理性。</w:t>
      </w:r>
    </w:p>
    <w:p>
      <w:pPr>
        <w:spacing w:line="360" w:lineRule="auto"/>
        <w:ind w:firstLine="640" w:firstLineChars="200"/>
        <w:rPr>
          <w:sz w:val="32"/>
          <w:szCs w:val="32"/>
        </w:rPr>
      </w:pPr>
      <w:r>
        <w:rPr>
          <w:sz w:val="32"/>
          <w:szCs w:val="32"/>
        </w:rPr>
        <w:t>3）从规划源头规避和减少城市建设过程中可能诱发的地质灾害和工程事故，起到事半功倍的作用。</w:t>
      </w:r>
    </w:p>
    <w:p>
      <w:pPr>
        <w:pStyle w:val="2"/>
        <w:numPr>
          <w:ilvl w:val="0"/>
          <w:numId w:val="1"/>
        </w:numPr>
        <w:tabs>
          <w:tab w:val="left" w:pos="709"/>
        </w:tabs>
        <w:spacing w:before="312" w:beforeLines="100"/>
        <w:rPr>
          <w:rFonts w:ascii="Times New Roman" w:hAnsi="Times New Roman"/>
          <w:sz w:val="32"/>
          <w:szCs w:val="32"/>
        </w:rPr>
      </w:pPr>
      <w:bookmarkStart w:id="34" w:name="_Toc536609786"/>
      <w:bookmarkStart w:id="35" w:name="_Toc29020223"/>
      <w:r>
        <w:rPr>
          <w:rFonts w:ascii="Times New Roman" w:hAnsi="Times New Roman"/>
          <w:sz w:val="32"/>
          <w:szCs w:val="32"/>
        </w:rPr>
        <w:t>提交资料要求</w:t>
      </w:r>
      <w:bookmarkEnd w:id="34"/>
      <w:bookmarkEnd w:id="35"/>
    </w:p>
    <w:p>
      <w:pPr>
        <w:spacing w:line="360" w:lineRule="auto"/>
        <w:ind w:firstLine="640" w:firstLineChars="200"/>
        <w:rPr>
          <w:sz w:val="32"/>
          <w:szCs w:val="32"/>
        </w:rPr>
      </w:pPr>
      <w:r>
        <w:rPr>
          <w:sz w:val="32"/>
          <w:szCs w:val="32"/>
        </w:rPr>
        <w:t>按照广州市规划和自然资源局的要求，提供满足城市规划设计使用的成果资料一式三套，电子文件两套。所有文字资料采用WORD标准格式，所有图件采用AutoCAD R14以上标准格式。</w:t>
      </w:r>
    </w:p>
    <w:p>
      <w:pPr>
        <w:spacing w:line="360" w:lineRule="auto"/>
        <w:ind w:firstLine="640" w:firstLineChars="200"/>
        <w:rPr>
          <w:sz w:val="32"/>
          <w:szCs w:val="32"/>
        </w:rPr>
      </w:pPr>
      <w:r>
        <w:rPr>
          <w:rFonts w:hint="eastAsia"/>
          <w:sz w:val="32"/>
          <w:szCs w:val="32"/>
        </w:rPr>
        <w:t xml:space="preserve">主要成果资料包括： </w:t>
      </w:r>
    </w:p>
    <w:p>
      <w:pPr>
        <w:spacing w:line="360" w:lineRule="auto"/>
        <w:ind w:firstLine="640" w:firstLineChars="200"/>
        <w:rPr>
          <w:sz w:val="32"/>
          <w:szCs w:val="32"/>
        </w:rPr>
      </w:pPr>
      <w:r>
        <w:rPr>
          <w:rFonts w:hint="eastAsia"/>
          <w:sz w:val="32"/>
          <w:szCs w:val="32"/>
        </w:rPr>
        <w:t>城乡规划用地工程地质勘察与地质环境质量评价报告</w:t>
      </w:r>
    </w:p>
    <w:p>
      <w:pPr>
        <w:spacing w:line="360" w:lineRule="auto"/>
        <w:ind w:firstLine="640" w:firstLineChars="200"/>
        <w:rPr>
          <w:sz w:val="32"/>
          <w:szCs w:val="32"/>
        </w:rPr>
      </w:pPr>
      <w:r>
        <w:rPr>
          <w:rFonts w:hint="eastAsia"/>
          <w:sz w:val="32"/>
          <w:szCs w:val="32"/>
        </w:rPr>
        <w:t>1）钻孔柱状图</w:t>
      </w:r>
    </w:p>
    <w:p>
      <w:pPr>
        <w:spacing w:line="360" w:lineRule="auto"/>
        <w:ind w:firstLine="640" w:firstLineChars="200"/>
        <w:rPr>
          <w:sz w:val="32"/>
          <w:szCs w:val="32"/>
        </w:rPr>
      </w:pPr>
      <w:r>
        <w:rPr>
          <w:rFonts w:hint="eastAsia"/>
          <w:sz w:val="32"/>
          <w:szCs w:val="32"/>
        </w:rPr>
        <w:t>2）工程地质剖面图</w:t>
      </w:r>
    </w:p>
    <w:p>
      <w:pPr>
        <w:spacing w:line="360" w:lineRule="auto"/>
        <w:ind w:firstLine="640" w:firstLineChars="200"/>
        <w:rPr>
          <w:sz w:val="32"/>
          <w:szCs w:val="32"/>
        </w:rPr>
      </w:pPr>
      <w:r>
        <w:rPr>
          <w:rFonts w:hint="eastAsia"/>
          <w:sz w:val="32"/>
          <w:szCs w:val="32"/>
        </w:rPr>
        <w:t>3）填土、软土、砂层等厚度等值线图</w:t>
      </w:r>
    </w:p>
    <w:p>
      <w:pPr>
        <w:spacing w:line="360" w:lineRule="auto"/>
        <w:ind w:firstLine="640" w:firstLineChars="200"/>
        <w:rPr>
          <w:sz w:val="32"/>
          <w:szCs w:val="32"/>
        </w:rPr>
      </w:pPr>
      <w:r>
        <w:rPr>
          <w:rFonts w:hint="eastAsia"/>
          <w:sz w:val="32"/>
          <w:szCs w:val="32"/>
        </w:rPr>
        <w:t>4）基岩地质图</w:t>
      </w:r>
    </w:p>
    <w:p>
      <w:pPr>
        <w:spacing w:line="360" w:lineRule="auto"/>
        <w:ind w:firstLine="640" w:firstLineChars="200"/>
        <w:rPr>
          <w:sz w:val="32"/>
          <w:szCs w:val="32"/>
        </w:rPr>
      </w:pPr>
      <w:r>
        <w:rPr>
          <w:rFonts w:hint="eastAsia"/>
          <w:sz w:val="32"/>
          <w:szCs w:val="32"/>
        </w:rPr>
        <w:t>5）工程地质分区图</w:t>
      </w:r>
    </w:p>
    <w:p>
      <w:pPr>
        <w:spacing w:line="360" w:lineRule="auto"/>
        <w:ind w:firstLine="640" w:firstLineChars="200"/>
        <w:rPr>
          <w:sz w:val="32"/>
          <w:szCs w:val="32"/>
        </w:rPr>
      </w:pPr>
      <w:r>
        <w:rPr>
          <w:rFonts w:hint="eastAsia"/>
          <w:sz w:val="32"/>
          <w:szCs w:val="32"/>
        </w:rPr>
        <w:t>6）地质灾害分布及易发性分区图</w:t>
      </w:r>
    </w:p>
    <w:p>
      <w:pPr>
        <w:spacing w:line="360" w:lineRule="auto"/>
        <w:ind w:firstLine="640" w:firstLineChars="200"/>
        <w:rPr>
          <w:sz w:val="32"/>
          <w:szCs w:val="32"/>
        </w:rPr>
      </w:pPr>
      <w:r>
        <w:rPr>
          <w:rFonts w:hint="eastAsia"/>
          <w:sz w:val="32"/>
          <w:szCs w:val="32"/>
        </w:rPr>
        <w:t>7）地质环境质量评分等值线图</w:t>
      </w:r>
    </w:p>
    <w:p>
      <w:pPr>
        <w:spacing w:line="360" w:lineRule="auto"/>
        <w:ind w:firstLine="640" w:firstLineChars="200"/>
        <w:rPr>
          <w:sz w:val="32"/>
          <w:szCs w:val="32"/>
        </w:rPr>
      </w:pPr>
      <w:r>
        <w:rPr>
          <w:rFonts w:hint="eastAsia"/>
          <w:sz w:val="32"/>
          <w:szCs w:val="32"/>
        </w:rPr>
        <w:t>8）地质环境质量综合评价图</w:t>
      </w:r>
    </w:p>
    <w:p>
      <w:pPr>
        <w:spacing w:line="360" w:lineRule="auto"/>
        <w:ind w:firstLine="640" w:firstLineChars="200"/>
        <w:rPr>
          <w:sz w:val="32"/>
          <w:szCs w:val="32"/>
        </w:rPr>
      </w:pPr>
      <w:r>
        <w:rPr>
          <w:rFonts w:hint="eastAsia"/>
          <w:sz w:val="32"/>
          <w:szCs w:val="32"/>
        </w:rPr>
        <w:t>9）工程建设适宜性分区评价图</w:t>
      </w:r>
    </w:p>
    <w:p>
      <w:pPr>
        <w:spacing w:line="360" w:lineRule="auto"/>
        <w:ind w:firstLine="640" w:firstLineChars="200"/>
        <w:rPr>
          <w:sz w:val="32"/>
          <w:szCs w:val="32"/>
        </w:rPr>
      </w:pPr>
      <w:r>
        <w:rPr>
          <w:rFonts w:hint="eastAsia"/>
          <w:sz w:val="32"/>
          <w:szCs w:val="32"/>
        </w:rPr>
        <w:t>1</w:t>
      </w:r>
      <w:r>
        <w:rPr>
          <w:sz w:val="32"/>
          <w:szCs w:val="32"/>
        </w:rPr>
        <w:t>0</w:t>
      </w:r>
      <w:r>
        <w:rPr>
          <w:rFonts w:hint="eastAsia"/>
          <w:sz w:val="32"/>
          <w:szCs w:val="32"/>
        </w:rPr>
        <w:t>）成果信息化数据</w:t>
      </w:r>
    </w:p>
    <w:p>
      <w:pPr>
        <w:spacing w:line="360" w:lineRule="auto"/>
        <w:ind w:firstLine="640" w:firstLineChars="200"/>
        <w:rPr>
          <w:sz w:val="32"/>
          <w:szCs w:val="32"/>
        </w:rPr>
      </w:pPr>
      <w:r>
        <w:rPr>
          <w:sz w:val="32"/>
          <w:szCs w:val="32"/>
        </w:rPr>
        <w:t>11</w:t>
      </w:r>
      <w:r>
        <w:rPr>
          <w:rFonts w:hint="eastAsia"/>
          <w:sz w:val="32"/>
          <w:szCs w:val="32"/>
        </w:rPr>
        <w:t>）典型区域地质环境三维模型构建成果。</w:t>
      </w:r>
    </w:p>
    <w:p>
      <w:pPr>
        <w:pStyle w:val="2"/>
        <w:numPr>
          <w:ilvl w:val="0"/>
          <w:numId w:val="1"/>
        </w:numPr>
        <w:tabs>
          <w:tab w:val="left" w:pos="709"/>
        </w:tabs>
        <w:spacing w:before="312" w:beforeLines="100"/>
        <w:rPr>
          <w:rFonts w:ascii="Times New Roman" w:hAnsi="Times New Roman"/>
          <w:sz w:val="32"/>
          <w:szCs w:val="32"/>
        </w:rPr>
      </w:pPr>
      <w:bookmarkStart w:id="36" w:name="_Toc536609787"/>
      <w:bookmarkStart w:id="37" w:name="_Toc29020224"/>
      <w:r>
        <w:rPr>
          <w:rFonts w:ascii="Times New Roman" w:hAnsi="Times New Roman"/>
          <w:sz w:val="32"/>
          <w:szCs w:val="32"/>
        </w:rPr>
        <w:t>验收要求</w:t>
      </w:r>
      <w:bookmarkEnd w:id="36"/>
      <w:bookmarkEnd w:id="37"/>
    </w:p>
    <w:p>
      <w:pPr>
        <w:spacing w:line="360" w:lineRule="auto"/>
        <w:ind w:firstLine="640" w:firstLineChars="200"/>
        <w:rPr>
          <w:sz w:val="32"/>
          <w:szCs w:val="32"/>
        </w:rPr>
      </w:pPr>
      <w:r>
        <w:rPr>
          <w:sz w:val="32"/>
          <w:szCs w:val="32"/>
        </w:rPr>
        <w:t>成果资料的验收按照《广州市规划和自然资源局(原市规划局)勘测项目验收管理规定》（穗府法审[2006]25号）相关规定执行。</w:t>
      </w:r>
    </w:p>
    <w:p>
      <w:pPr>
        <w:pStyle w:val="2"/>
        <w:numPr>
          <w:ilvl w:val="0"/>
          <w:numId w:val="1"/>
        </w:numPr>
        <w:tabs>
          <w:tab w:val="left" w:pos="709"/>
        </w:tabs>
        <w:spacing w:before="312" w:beforeLines="100"/>
        <w:rPr>
          <w:rFonts w:ascii="Times New Roman" w:hAnsi="Times New Roman"/>
          <w:sz w:val="32"/>
          <w:szCs w:val="32"/>
        </w:rPr>
      </w:pPr>
      <w:bookmarkStart w:id="38" w:name="_Toc536609788"/>
      <w:bookmarkStart w:id="39" w:name="_Toc29020225"/>
      <w:r>
        <w:rPr>
          <w:rFonts w:ascii="Times New Roman" w:hAnsi="Times New Roman"/>
          <w:sz w:val="32"/>
          <w:szCs w:val="32"/>
        </w:rPr>
        <w:t>质量</w:t>
      </w:r>
      <w:r>
        <w:rPr>
          <w:rFonts w:hint="eastAsia" w:ascii="Times New Roman" w:hAnsi="Times New Roman"/>
          <w:sz w:val="32"/>
          <w:szCs w:val="32"/>
        </w:rPr>
        <w:t>、安全文明施工、进度</w:t>
      </w:r>
      <w:r>
        <w:rPr>
          <w:rFonts w:ascii="Times New Roman" w:hAnsi="Times New Roman"/>
          <w:sz w:val="32"/>
          <w:szCs w:val="32"/>
        </w:rPr>
        <w:t>保证</w:t>
      </w:r>
      <w:bookmarkEnd w:id="38"/>
      <w:bookmarkEnd w:id="39"/>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sz w:val="32"/>
          <w:szCs w:val="32"/>
        </w:rPr>
      </w:pPr>
      <w:r>
        <w:rPr>
          <w:sz w:val="32"/>
          <w:szCs w:val="32"/>
        </w:rPr>
        <w:t>承接人必须针对本项目提供完整的质量保证体系</w:t>
      </w:r>
      <w:r>
        <w:rPr>
          <w:rFonts w:hint="eastAsia"/>
          <w:sz w:val="32"/>
          <w:szCs w:val="32"/>
        </w:rPr>
        <w:t>、安全文明施工保证体系，采取可靠的进度保证措施</w:t>
      </w:r>
      <w:r>
        <w:rPr>
          <w:sz w:val="32"/>
          <w:szCs w:val="32"/>
        </w:rPr>
        <w:t>，确保质量达到相关技术标准的要求，并对质量保证的措施进行详细的描述</w:t>
      </w:r>
      <w:r>
        <w:rPr>
          <w:rFonts w:hint="eastAsia"/>
          <w:sz w:val="32"/>
          <w:szCs w:val="32"/>
        </w:rPr>
        <w:t>，确保服务全程符合广州市环</w:t>
      </w:r>
      <w:bookmarkStart w:id="65" w:name="_GoBack"/>
      <w:bookmarkEnd w:id="65"/>
      <w:r>
        <w:rPr>
          <w:rFonts w:hint="eastAsia"/>
          <w:sz w:val="32"/>
          <w:szCs w:val="32"/>
        </w:rPr>
        <w:t>境保护、安全文明施工等相关规定，确保项目按实完成</w:t>
      </w:r>
      <w:r>
        <w:rPr>
          <w:sz w:val="32"/>
          <w:szCs w:val="32"/>
        </w:rPr>
        <w:t>。</w:t>
      </w:r>
    </w:p>
    <w:bookmarkEnd w:id="30"/>
    <w:bookmarkEnd w:id="31"/>
    <w:p>
      <w:pPr>
        <w:pStyle w:val="2"/>
        <w:numPr>
          <w:ilvl w:val="0"/>
          <w:numId w:val="1"/>
        </w:numPr>
        <w:tabs>
          <w:tab w:val="left" w:pos="709"/>
        </w:tabs>
        <w:spacing w:before="312" w:beforeLines="100"/>
        <w:rPr>
          <w:rFonts w:ascii="Times New Roman" w:hAnsi="Times New Roman"/>
          <w:sz w:val="32"/>
          <w:szCs w:val="32"/>
        </w:rPr>
      </w:pPr>
      <w:bookmarkStart w:id="40" w:name="_Toc536609789"/>
      <w:bookmarkStart w:id="41" w:name="_Toc463969169"/>
      <w:bookmarkStart w:id="42" w:name="_Toc463969444"/>
      <w:bookmarkStart w:id="43" w:name="_Toc476140382"/>
      <w:bookmarkStart w:id="44" w:name="_Toc29020226"/>
      <w:r>
        <w:rPr>
          <w:rFonts w:ascii="Times New Roman" w:hAnsi="Times New Roman"/>
          <w:sz w:val="32"/>
          <w:szCs w:val="32"/>
        </w:rPr>
        <w:t>合同的签订</w:t>
      </w:r>
      <w:bookmarkEnd w:id="40"/>
      <w:bookmarkEnd w:id="41"/>
      <w:bookmarkEnd w:id="42"/>
      <w:bookmarkEnd w:id="43"/>
      <w:bookmarkEnd w:id="44"/>
    </w:p>
    <w:p>
      <w:pPr>
        <w:tabs>
          <w:tab w:val="left" w:pos="420"/>
        </w:tabs>
        <w:spacing w:line="360" w:lineRule="auto"/>
        <w:ind w:left="6" w:firstLine="473" w:firstLineChars="148"/>
        <w:rPr>
          <w:sz w:val="32"/>
          <w:szCs w:val="32"/>
        </w:rPr>
      </w:pPr>
      <w:r>
        <w:rPr>
          <w:sz w:val="32"/>
          <w:szCs w:val="32"/>
        </w:rPr>
        <w:t>待采购人确认中标供应商后，中标供应商在收到中标通知书后30天内与采购人按以下依据签订本招标项目合同，否则，采购人有权取消其中标资格，合同签订依据如下：</w:t>
      </w:r>
    </w:p>
    <w:p>
      <w:pPr>
        <w:pStyle w:val="25"/>
        <w:rPr>
          <w:rFonts w:ascii="Times New Roman" w:hAnsi="Times New Roman" w:eastAsia="宋体" w:cs="Times New Roman"/>
          <w:kern w:val="0"/>
          <w:sz w:val="32"/>
          <w:szCs w:val="32"/>
        </w:rPr>
      </w:pPr>
      <w:r>
        <w:rPr>
          <w:rFonts w:ascii="Times New Roman" w:hAnsi="Times New Roman" w:eastAsia="宋体" w:cs="Times New Roman"/>
          <w:kern w:val="0"/>
          <w:sz w:val="32"/>
          <w:szCs w:val="32"/>
        </w:rPr>
        <w:t>1、《中华人民共和国合同法》；</w:t>
      </w:r>
    </w:p>
    <w:p>
      <w:pPr>
        <w:pStyle w:val="25"/>
        <w:rPr>
          <w:rFonts w:ascii="Times New Roman" w:hAnsi="Times New Roman" w:eastAsia="宋体" w:cs="Times New Roman"/>
          <w:kern w:val="0"/>
          <w:sz w:val="32"/>
          <w:szCs w:val="32"/>
        </w:rPr>
      </w:pPr>
      <w:r>
        <w:rPr>
          <w:rFonts w:ascii="Times New Roman" w:hAnsi="Times New Roman" w:eastAsia="宋体" w:cs="Times New Roman"/>
          <w:kern w:val="0"/>
          <w:sz w:val="32"/>
          <w:szCs w:val="32"/>
        </w:rPr>
        <w:t>2、国家或采购人相关标准合同；</w:t>
      </w:r>
    </w:p>
    <w:p>
      <w:pPr>
        <w:pStyle w:val="25"/>
        <w:rPr>
          <w:rFonts w:ascii="Times New Roman" w:hAnsi="Times New Roman" w:eastAsia="宋体" w:cs="Times New Roman"/>
          <w:kern w:val="0"/>
          <w:sz w:val="32"/>
          <w:szCs w:val="32"/>
        </w:rPr>
      </w:pPr>
      <w:r>
        <w:rPr>
          <w:rFonts w:ascii="Times New Roman" w:hAnsi="Times New Roman" w:eastAsia="宋体" w:cs="Times New Roman"/>
          <w:kern w:val="0"/>
          <w:sz w:val="32"/>
          <w:szCs w:val="32"/>
        </w:rPr>
        <w:t>3、其它相关内容以合同附件约定。</w:t>
      </w:r>
    </w:p>
    <w:p>
      <w:pPr>
        <w:pStyle w:val="2"/>
        <w:numPr>
          <w:ilvl w:val="0"/>
          <w:numId w:val="1"/>
        </w:numPr>
        <w:tabs>
          <w:tab w:val="left" w:pos="709"/>
        </w:tabs>
        <w:spacing w:before="312" w:beforeLines="100"/>
        <w:rPr>
          <w:rFonts w:ascii="Times New Roman" w:hAnsi="Times New Roman"/>
          <w:sz w:val="32"/>
          <w:szCs w:val="32"/>
        </w:rPr>
      </w:pPr>
      <w:bookmarkStart w:id="45" w:name="_Toc463969445"/>
      <w:bookmarkStart w:id="46" w:name="_Toc536609790"/>
      <w:bookmarkStart w:id="47" w:name="_Toc476140383"/>
      <w:bookmarkStart w:id="48" w:name="_Toc463969170"/>
      <w:bookmarkStart w:id="49" w:name="_Toc29020227"/>
      <w:r>
        <w:rPr>
          <w:rFonts w:ascii="Times New Roman" w:hAnsi="Times New Roman"/>
          <w:sz w:val="32"/>
          <w:szCs w:val="32"/>
        </w:rPr>
        <w:t>付款方式</w:t>
      </w:r>
      <w:bookmarkEnd w:id="45"/>
      <w:bookmarkEnd w:id="46"/>
      <w:bookmarkEnd w:id="47"/>
      <w:bookmarkEnd w:id="48"/>
      <w:bookmarkEnd w:id="49"/>
    </w:p>
    <w:p>
      <w:pPr>
        <w:pStyle w:val="25"/>
        <w:numPr>
          <w:ilvl w:val="0"/>
          <w:numId w:val="2"/>
        </w:numPr>
        <w:ind w:firstLineChars="0"/>
        <w:rPr>
          <w:rFonts w:ascii="Times New Roman" w:hAnsi="Times New Roman" w:eastAsia="宋体" w:cs="Times New Roman"/>
          <w:sz w:val="32"/>
          <w:szCs w:val="32"/>
        </w:rPr>
      </w:pPr>
      <w:r>
        <w:rPr>
          <w:rFonts w:ascii="Times New Roman" w:hAnsi="Times New Roman" w:eastAsia="宋体" w:cs="Times New Roman"/>
          <w:sz w:val="32"/>
          <w:szCs w:val="32"/>
        </w:rPr>
        <w:t>项目工作完成并提交成果文件后，凭以下资料：</w:t>
      </w:r>
    </w:p>
    <w:p>
      <w:pPr>
        <w:pStyle w:val="25"/>
        <w:ind w:firstLine="960" w:firstLineChars="300"/>
        <w:rPr>
          <w:rFonts w:ascii="Times New Roman" w:hAnsi="Times New Roman" w:eastAsia="宋体" w:cs="Times New Roman"/>
          <w:sz w:val="32"/>
          <w:szCs w:val="32"/>
        </w:rPr>
      </w:pPr>
      <w:r>
        <w:rPr>
          <w:rFonts w:ascii="Times New Roman" w:hAnsi="Times New Roman" w:eastAsia="宋体" w:cs="Times New Roman"/>
          <w:sz w:val="32"/>
          <w:szCs w:val="32"/>
        </w:rPr>
        <w:t>1、合同复印件；</w:t>
      </w:r>
    </w:p>
    <w:p>
      <w:pPr>
        <w:pStyle w:val="25"/>
        <w:ind w:firstLine="960" w:firstLineChars="300"/>
        <w:rPr>
          <w:rFonts w:ascii="Times New Roman" w:hAnsi="Times New Roman" w:eastAsia="宋体" w:cs="Times New Roman"/>
          <w:sz w:val="32"/>
          <w:szCs w:val="32"/>
        </w:rPr>
      </w:pPr>
      <w:r>
        <w:rPr>
          <w:rFonts w:ascii="Times New Roman" w:hAnsi="Times New Roman" w:eastAsia="宋体" w:cs="Times New Roman"/>
          <w:sz w:val="32"/>
          <w:szCs w:val="32"/>
        </w:rPr>
        <w:t>2、中标供应商开具的正式发票；</w:t>
      </w:r>
    </w:p>
    <w:p>
      <w:pPr>
        <w:pStyle w:val="25"/>
        <w:numPr>
          <w:ilvl w:val="0"/>
          <w:numId w:val="2"/>
        </w:numPr>
        <w:ind w:firstLineChars="0"/>
        <w:rPr>
          <w:rFonts w:ascii="Times New Roman" w:hAnsi="Times New Roman" w:eastAsia="宋体" w:cs="Times New Roman"/>
          <w:sz w:val="32"/>
          <w:szCs w:val="32"/>
        </w:rPr>
      </w:pPr>
      <w:r>
        <w:rPr>
          <w:rFonts w:ascii="Times New Roman" w:hAnsi="Times New Roman" w:eastAsia="宋体" w:cs="Times New Roman"/>
          <w:sz w:val="32"/>
          <w:szCs w:val="32"/>
        </w:rPr>
        <w:t>按下述步骤付款：</w:t>
      </w:r>
    </w:p>
    <w:p>
      <w:pPr>
        <w:pStyle w:val="25"/>
        <w:ind w:left="283" w:leftChars="135" w:firstLine="566" w:firstLineChars="177"/>
        <w:rPr>
          <w:rFonts w:ascii="Times New Roman" w:hAnsi="Times New Roman" w:eastAsia="宋体" w:cs="Times New Roman"/>
          <w:sz w:val="32"/>
          <w:szCs w:val="32"/>
        </w:rPr>
      </w:pPr>
      <w:r>
        <w:rPr>
          <w:rFonts w:ascii="Times New Roman" w:hAnsi="Times New Roman" w:eastAsia="宋体" w:cs="Times New Roman"/>
          <w:sz w:val="32"/>
          <w:szCs w:val="32"/>
        </w:rPr>
        <w:t>1、合同签订后采购人在15个工作日内向中标供应商支付</w:t>
      </w:r>
      <w:r>
        <w:rPr>
          <w:rFonts w:ascii="Times New Roman" w:hAnsi="Times New Roman" w:eastAsia="宋体" w:cs="Times New Roman"/>
          <w:bCs/>
          <w:color w:val="000000"/>
          <w:sz w:val="32"/>
          <w:szCs w:val="32"/>
        </w:rPr>
        <w:t>合同</w:t>
      </w:r>
      <w:r>
        <w:rPr>
          <w:rFonts w:ascii="Times New Roman" w:hAnsi="Times New Roman" w:eastAsia="宋体" w:cs="Times New Roman"/>
          <w:sz w:val="32"/>
          <w:szCs w:val="32"/>
        </w:rPr>
        <w:t>总金额的50%，计人民币；</w:t>
      </w:r>
    </w:p>
    <w:p>
      <w:pPr>
        <w:pStyle w:val="25"/>
        <w:ind w:left="283" w:leftChars="135" w:firstLine="579" w:firstLineChars="181"/>
        <w:rPr>
          <w:rFonts w:ascii="Times New Roman" w:hAnsi="Times New Roman" w:eastAsia="宋体" w:cs="Times New Roman"/>
          <w:sz w:val="32"/>
          <w:szCs w:val="32"/>
        </w:rPr>
      </w:pPr>
      <w:r>
        <w:rPr>
          <w:rFonts w:ascii="Times New Roman" w:hAnsi="Times New Roman" w:eastAsia="宋体" w:cs="Times New Roman"/>
          <w:sz w:val="32"/>
          <w:szCs w:val="32"/>
        </w:rPr>
        <w:t>2、中标供应商于2020年8月31日前通过项目中期专家评审后，采购人在15个工作日内向中标供应商支付</w:t>
      </w:r>
      <w:r>
        <w:rPr>
          <w:rFonts w:ascii="Times New Roman" w:hAnsi="Times New Roman" w:eastAsia="宋体" w:cs="Times New Roman"/>
          <w:bCs/>
          <w:color w:val="000000"/>
          <w:sz w:val="32"/>
          <w:szCs w:val="32"/>
        </w:rPr>
        <w:t>完2020年度费用</w:t>
      </w:r>
      <w:r>
        <w:rPr>
          <w:rFonts w:ascii="Times New Roman" w:hAnsi="Times New Roman" w:eastAsia="宋体" w:cs="Times New Roman"/>
          <w:sz w:val="32"/>
          <w:szCs w:val="32"/>
        </w:rPr>
        <w:t>，计人民币；</w:t>
      </w:r>
    </w:p>
    <w:p>
      <w:pPr>
        <w:pStyle w:val="25"/>
        <w:ind w:left="283" w:leftChars="135" w:firstLine="579" w:firstLineChars="181"/>
        <w:rPr>
          <w:rFonts w:ascii="Times New Roman" w:hAnsi="Times New Roman" w:eastAsia="宋体" w:cs="Times New Roman"/>
          <w:sz w:val="32"/>
          <w:szCs w:val="32"/>
        </w:rPr>
      </w:pPr>
      <w:r>
        <w:rPr>
          <w:rFonts w:ascii="Times New Roman" w:hAnsi="Times New Roman" w:eastAsia="宋体" w:cs="Times New Roman"/>
          <w:sz w:val="32"/>
          <w:szCs w:val="32"/>
        </w:rPr>
        <w:t>3、中标供应商于2020年10月31日前通过项目终期成果评审（以专家出具的评审验收意见为准），提交全部成果资料并完成成果资料归档后，采购人在2021年3月前向中标供应商支付完尾款</w:t>
      </w:r>
      <w:r>
        <w:rPr>
          <w:rFonts w:ascii="Times New Roman" w:hAnsi="Times New Roman" w:eastAsia="宋体" w:cs="Times New Roman"/>
          <w:bCs/>
          <w:color w:val="000000"/>
          <w:sz w:val="32"/>
          <w:szCs w:val="32"/>
        </w:rPr>
        <w:t>，</w:t>
      </w:r>
      <w:r>
        <w:rPr>
          <w:rFonts w:ascii="Times New Roman" w:hAnsi="Times New Roman" w:eastAsia="宋体" w:cs="Times New Roman"/>
          <w:sz w:val="32"/>
          <w:szCs w:val="32"/>
        </w:rPr>
        <w:t>计人民币</w:t>
      </w:r>
      <w:r>
        <w:rPr>
          <w:rFonts w:ascii="Times New Roman" w:hAnsi="Times New Roman" w:eastAsia="宋体" w:cs="Times New Roman"/>
          <w:bCs/>
          <w:color w:val="000000"/>
          <w:sz w:val="32"/>
          <w:szCs w:val="32"/>
        </w:rPr>
        <w:t>。</w:t>
      </w:r>
    </w:p>
    <w:p>
      <w:pPr>
        <w:tabs>
          <w:tab w:val="left" w:pos="420"/>
        </w:tabs>
        <w:spacing w:line="360" w:lineRule="auto"/>
        <w:ind w:left="283" w:leftChars="135" w:firstLine="633" w:firstLineChars="197"/>
        <w:rPr>
          <w:b/>
          <w:sz w:val="32"/>
          <w:szCs w:val="32"/>
        </w:rPr>
      </w:pPr>
      <w:r>
        <w:rPr>
          <w:b/>
          <w:sz w:val="32"/>
          <w:szCs w:val="32"/>
        </w:rPr>
        <w:t>因采购人使用的是财政资金，</w:t>
      </w:r>
      <w:r>
        <w:rPr>
          <w:b/>
          <w:sz w:val="32"/>
          <w:szCs w:val="32"/>
          <w:lang w:val="zh-CN"/>
        </w:rPr>
        <w:t>采购人在规定的付款时间内向</w:t>
      </w:r>
      <w:r>
        <w:rPr>
          <w:b/>
          <w:sz w:val="32"/>
          <w:szCs w:val="32"/>
        </w:rPr>
        <w:t>相关财政部门</w:t>
      </w:r>
      <w:r>
        <w:rPr>
          <w:b/>
          <w:sz w:val="32"/>
          <w:szCs w:val="32"/>
          <w:lang w:val="zh-CN"/>
        </w:rPr>
        <w:t>申请支付手续，</w:t>
      </w:r>
      <w:r>
        <w:rPr>
          <w:b/>
          <w:sz w:val="32"/>
          <w:szCs w:val="32"/>
        </w:rPr>
        <w:t>最终的款项支付时间以财政部门下达资金的时间为准，由此原因造成的延期付款免责。</w:t>
      </w:r>
    </w:p>
    <w:p>
      <w:pPr>
        <w:pStyle w:val="2"/>
        <w:numPr>
          <w:ilvl w:val="0"/>
          <w:numId w:val="1"/>
        </w:numPr>
        <w:tabs>
          <w:tab w:val="left" w:pos="709"/>
        </w:tabs>
        <w:spacing w:before="312" w:beforeLines="100"/>
        <w:rPr>
          <w:rFonts w:ascii="Times New Roman" w:hAnsi="Times New Roman"/>
          <w:sz w:val="32"/>
          <w:szCs w:val="32"/>
        </w:rPr>
      </w:pPr>
      <w:bookmarkStart w:id="50" w:name="_Toc463969446"/>
      <w:bookmarkStart w:id="51" w:name="_Toc536609791"/>
      <w:bookmarkStart w:id="52" w:name="_Toc463969171"/>
      <w:bookmarkStart w:id="53" w:name="_Toc476140384"/>
      <w:bookmarkStart w:id="54" w:name="_Toc29020228"/>
      <w:r>
        <w:rPr>
          <w:rFonts w:ascii="Times New Roman" w:hAnsi="Times New Roman"/>
          <w:sz w:val="32"/>
          <w:szCs w:val="32"/>
        </w:rPr>
        <w:t>成果所有权</w:t>
      </w:r>
      <w:bookmarkEnd w:id="50"/>
      <w:bookmarkEnd w:id="51"/>
      <w:bookmarkEnd w:id="52"/>
      <w:bookmarkEnd w:id="53"/>
      <w:bookmarkEnd w:id="54"/>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1、项目的所有成果，知识产权归采购人所有。</w:t>
      </w:r>
    </w:p>
    <w:p>
      <w:pPr>
        <w:pStyle w:val="25"/>
        <w:ind w:left="845" w:leftChars="250" w:hanging="320" w:hangingChars="10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2、中标人非经采购人书面同意，不得以任何方式向第三方披露、转让和许可本项目的技术成果、技术资料和文件。如中标人违反本条规定的，除立即停止违约行为外，还应赔偿采购人的损失。</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3、中标人应保证提供的成果不侵犯任何第三方的知识产权。</w:t>
      </w:r>
    </w:p>
    <w:p>
      <w:pPr>
        <w:pStyle w:val="2"/>
        <w:numPr>
          <w:ilvl w:val="0"/>
          <w:numId w:val="1"/>
        </w:numPr>
        <w:tabs>
          <w:tab w:val="left" w:pos="709"/>
        </w:tabs>
        <w:spacing w:before="312" w:beforeLines="100"/>
        <w:rPr>
          <w:rFonts w:ascii="Times New Roman" w:hAnsi="Times New Roman"/>
          <w:sz w:val="32"/>
          <w:szCs w:val="32"/>
        </w:rPr>
      </w:pPr>
      <w:bookmarkStart w:id="55" w:name="_Toc536609792"/>
      <w:bookmarkStart w:id="56" w:name="_Toc29020229"/>
      <w:r>
        <w:rPr>
          <w:rFonts w:ascii="Times New Roman" w:hAnsi="Times New Roman"/>
          <w:sz w:val="32"/>
          <w:szCs w:val="32"/>
        </w:rPr>
        <w:t>成果安全与保密</w:t>
      </w:r>
      <w:bookmarkEnd w:id="55"/>
      <w:bookmarkEnd w:id="56"/>
    </w:p>
    <w:p>
      <w:pPr>
        <w:pStyle w:val="25"/>
        <w:ind w:left="900" w:leftChars="200" w:hanging="480" w:hangingChars="15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1、本项目涉及的保密数据和资料包括作业过程资料和采购人在项目过程中确认的需要保密的其他信息及资料。</w:t>
      </w:r>
    </w:p>
    <w:p>
      <w:pPr>
        <w:pStyle w:val="25"/>
        <w:ind w:left="900" w:leftChars="200" w:hanging="480" w:hangingChars="15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2、本项目所涉及的保密数据和资料，仅限于中标供应商在本项目在合同期内部使用，只能用于本项目，不得用于其它用途，不得向第三方提供。</w:t>
      </w:r>
    </w:p>
    <w:p>
      <w:pPr>
        <w:pStyle w:val="25"/>
        <w:ind w:left="900" w:leftChars="200" w:hanging="480" w:hangingChars="15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3、中标供应商须按国家相关法律法规的要求，制定数据安全保密措施，严防泄密，并在项目结束后销毁所有相关数据，不得保留备份。</w:t>
      </w:r>
    </w:p>
    <w:p>
      <w:pPr>
        <w:pStyle w:val="25"/>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4、中标供应商不得将涉密数据在计算机互联网、政务网等非涉密网络上传输、登载。</w:t>
      </w:r>
    </w:p>
    <w:p>
      <w:pPr>
        <w:pStyle w:val="25"/>
        <w:ind w:left="740" w:leftChars="200" w:hanging="320" w:hangingChars="10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5、中标供应商发生涉密数据外传、丢失、被盗或者造成泄密事故的，应采取有效措施，及时补救，并及时向采购人报告；造成的后果，由中标供应商承担所有责任。</w:t>
      </w:r>
    </w:p>
    <w:p>
      <w:pPr>
        <w:pStyle w:val="2"/>
        <w:numPr>
          <w:ilvl w:val="0"/>
          <w:numId w:val="1"/>
        </w:numPr>
        <w:tabs>
          <w:tab w:val="left" w:pos="709"/>
        </w:tabs>
        <w:spacing w:before="312" w:beforeLines="100"/>
        <w:rPr>
          <w:rFonts w:ascii="Times New Roman" w:hAnsi="Times New Roman"/>
          <w:sz w:val="32"/>
          <w:szCs w:val="32"/>
        </w:rPr>
      </w:pPr>
      <w:bookmarkStart w:id="57" w:name="_Toc29020230"/>
      <w:r>
        <w:rPr>
          <w:rFonts w:hint="eastAsia" w:ascii="Times New Roman" w:hAnsi="Times New Roman"/>
          <w:sz w:val="32"/>
          <w:szCs w:val="32"/>
        </w:rPr>
        <w:t>采购计划</w:t>
      </w:r>
      <w:bookmarkEnd w:id="57"/>
    </w:p>
    <w:p>
      <w:pPr>
        <w:pStyle w:val="25"/>
        <w:ind w:left="740" w:leftChars="200" w:hanging="320" w:hangingChars="100"/>
        <w:rPr>
          <w:rFonts w:ascii="Times New Roman" w:hAnsi="Times New Roman" w:eastAsia="宋体" w:cs="Times New Roman"/>
          <w:bCs/>
          <w:color w:val="000000"/>
          <w:sz w:val="32"/>
          <w:szCs w:val="32"/>
        </w:rPr>
      </w:pPr>
      <w:r>
        <w:rPr>
          <w:rFonts w:hint="eastAsia" w:ascii="Times New Roman" w:hAnsi="Times New Roman" w:eastAsia="宋体" w:cs="Times New Roman"/>
          <w:bCs/>
          <w:color w:val="000000"/>
          <w:sz w:val="32"/>
          <w:szCs w:val="32"/>
        </w:rPr>
        <w:t>拟定于2</w:t>
      </w:r>
      <w:r>
        <w:rPr>
          <w:rFonts w:ascii="Times New Roman" w:hAnsi="Times New Roman" w:eastAsia="宋体" w:cs="Times New Roman"/>
          <w:bCs/>
          <w:color w:val="000000"/>
          <w:sz w:val="32"/>
          <w:szCs w:val="32"/>
        </w:rPr>
        <w:t>020</w:t>
      </w:r>
      <w:r>
        <w:rPr>
          <w:rFonts w:hint="eastAsia" w:ascii="Times New Roman" w:hAnsi="Times New Roman" w:eastAsia="宋体" w:cs="Times New Roman"/>
          <w:bCs/>
          <w:color w:val="000000"/>
          <w:sz w:val="32"/>
          <w:szCs w:val="32"/>
        </w:rPr>
        <w:t>年1月挂网招标，2</w:t>
      </w:r>
      <w:r>
        <w:rPr>
          <w:rFonts w:ascii="Times New Roman" w:hAnsi="Times New Roman" w:eastAsia="宋体" w:cs="Times New Roman"/>
          <w:bCs/>
          <w:color w:val="000000"/>
          <w:sz w:val="32"/>
          <w:szCs w:val="32"/>
        </w:rPr>
        <w:t>020</w:t>
      </w:r>
      <w:r>
        <w:rPr>
          <w:rFonts w:hint="eastAsia" w:ascii="Times New Roman" w:hAnsi="Times New Roman" w:eastAsia="宋体" w:cs="Times New Roman"/>
          <w:bCs/>
          <w:color w:val="000000"/>
          <w:sz w:val="32"/>
          <w:szCs w:val="32"/>
        </w:rPr>
        <w:t>年3月前确定中标单位。</w:t>
      </w:r>
    </w:p>
    <w:p>
      <w:pPr>
        <w:pStyle w:val="2"/>
        <w:numPr>
          <w:ilvl w:val="0"/>
          <w:numId w:val="1"/>
        </w:numPr>
        <w:tabs>
          <w:tab w:val="left" w:pos="709"/>
        </w:tabs>
        <w:spacing w:before="312" w:beforeLines="100"/>
        <w:rPr>
          <w:rFonts w:ascii="Times New Roman" w:hAnsi="Times New Roman"/>
          <w:sz w:val="32"/>
          <w:szCs w:val="32"/>
        </w:rPr>
      </w:pPr>
      <w:bookmarkStart w:id="58" w:name="_Toc463969448"/>
      <w:bookmarkStart w:id="59" w:name="_Toc476140386"/>
      <w:bookmarkStart w:id="60" w:name="_Toc463969173"/>
      <w:bookmarkStart w:id="61" w:name="_Toc536609793"/>
      <w:bookmarkStart w:id="62" w:name="_Toc29020231"/>
      <w:r>
        <w:rPr>
          <w:rFonts w:ascii="Times New Roman" w:hAnsi="Times New Roman"/>
          <w:sz w:val="32"/>
          <w:szCs w:val="32"/>
        </w:rPr>
        <w:t>违约责任</w:t>
      </w:r>
      <w:bookmarkEnd w:id="58"/>
      <w:bookmarkEnd w:id="59"/>
      <w:bookmarkEnd w:id="60"/>
      <w:bookmarkEnd w:id="61"/>
      <w:bookmarkEnd w:id="62"/>
    </w:p>
    <w:p>
      <w:pPr>
        <w:pStyle w:val="25"/>
        <w:ind w:left="900" w:leftChars="200" w:hanging="480" w:hangingChars="15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1、服务期间，中标供应商未能按合同的规定履行义务的，采购人有权通知中标供应商限期整改，中标供应商不整改或整改不符合采购人要求的，采购人有权解除委托服务合同，中标供应商应向采购人支付相当于服务费用全额10%的违约金。</w:t>
      </w:r>
    </w:p>
    <w:p>
      <w:pPr>
        <w:pStyle w:val="25"/>
        <w:ind w:left="900" w:leftChars="200" w:hanging="480" w:hangingChars="150"/>
        <w:rPr>
          <w:rFonts w:ascii="Times New Roman" w:hAnsi="Times New Roman" w:eastAsia="宋体" w:cs="Times New Roman"/>
          <w:bCs/>
          <w:color w:val="000000"/>
          <w:sz w:val="32"/>
          <w:szCs w:val="32"/>
        </w:rPr>
      </w:pPr>
      <w:r>
        <w:rPr>
          <w:rFonts w:ascii="Times New Roman" w:hAnsi="Times New Roman" w:eastAsia="宋体" w:cs="Times New Roman"/>
          <w:bCs/>
          <w:color w:val="000000"/>
          <w:sz w:val="32"/>
          <w:szCs w:val="32"/>
        </w:rPr>
        <w:t>2、无论何种原因造成合同的终止、解除，中标供应商在接到采购人的书面通知后，应积极配合采购人完成交接工作，不得以任何理由拖延办理交接手续，不得以任何理由滞留服务场地，否则中标供应商应向采购人支付相当于服务费用全额10%的违约金。</w:t>
      </w:r>
    </w:p>
    <w:p>
      <w:pPr>
        <w:pStyle w:val="2"/>
        <w:numPr>
          <w:ilvl w:val="0"/>
          <w:numId w:val="1"/>
        </w:numPr>
        <w:tabs>
          <w:tab w:val="left" w:pos="709"/>
        </w:tabs>
        <w:spacing w:before="312" w:beforeLines="100"/>
        <w:rPr>
          <w:rFonts w:ascii="Times New Roman" w:hAnsi="Times New Roman"/>
          <w:sz w:val="32"/>
          <w:szCs w:val="32"/>
        </w:rPr>
      </w:pPr>
      <w:bookmarkStart w:id="63" w:name="_Toc29020232"/>
      <w:bookmarkStart w:id="64" w:name="_Toc536609794"/>
      <w:r>
        <w:rPr>
          <w:rFonts w:ascii="Times New Roman" w:hAnsi="Times New Roman"/>
          <w:sz w:val="32"/>
          <w:szCs w:val="32"/>
        </w:rPr>
        <w:t>解释权</w:t>
      </w:r>
      <w:bookmarkEnd w:id="63"/>
      <w:bookmarkEnd w:id="64"/>
    </w:p>
    <w:p>
      <w:pPr>
        <w:pStyle w:val="21"/>
        <w:autoSpaceDE w:val="0"/>
        <w:autoSpaceDN w:val="0"/>
        <w:spacing w:line="360" w:lineRule="auto"/>
        <w:ind w:left="479" w:firstLine="0" w:firstLineChars="0"/>
        <w:rPr>
          <w:sz w:val="32"/>
          <w:szCs w:val="32"/>
        </w:rPr>
      </w:pPr>
      <w:r>
        <w:rPr>
          <w:sz w:val="32"/>
          <w:szCs w:val="32"/>
        </w:rPr>
        <w:t>本用户需求书解释权归广州市规划和自然资源局所有。</w:t>
      </w:r>
    </w:p>
    <w:p>
      <w:pPr>
        <w:rPr>
          <w:sz w:val="32"/>
          <w:szCs w:val="32"/>
          <w:lang w:val="zh-CN"/>
        </w:rPr>
      </w:pPr>
    </w:p>
    <w:p>
      <w:pPr>
        <w:ind w:firstLine="640" w:firstLineChars="200"/>
        <w:rPr>
          <w:sz w:val="32"/>
          <w:szCs w:val="32"/>
          <w:lang w:val="zh-CN"/>
        </w:rPr>
      </w:pPr>
      <w:r>
        <w:rPr>
          <w:rFonts w:hint="eastAsia"/>
          <w:sz w:val="32"/>
          <w:szCs w:val="32"/>
          <w:lang w:val="zh-CN"/>
        </w:rPr>
        <w:t>附图：（本次实施范围为下图所示5</w:t>
      </w:r>
      <w:r>
        <w:rPr>
          <w:sz w:val="32"/>
          <w:szCs w:val="32"/>
          <w:lang w:val="zh-CN"/>
        </w:rPr>
        <w:t>2</w:t>
      </w:r>
      <w:r>
        <w:rPr>
          <w:rFonts w:hint="eastAsia"/>
          <w:sz w:val="32"/>
          <w:szCs w:val="32"/>
          <w:lang w:val="zh-CN"/>
        </w:rPr>
        <w:t>号地块）。</w:t>
      </w:r>
    </w:p>
    <w:p>
      <w:pPr>
        <w:jc w:val="center"/>
        <w:rPr>
          <w:sz w:val="32"/>
          <w:szCs w:val="32"/>
          <w:lang w:val="zh-CN"/>
        </w:rPr>
      </w:pPr>
      <w:r>
        <w:rPr>
          <w:sz w:val="32"/>
          <w:szCs w:val="32"/>
        </w:rPr>
        <w:drawing>
          <wp:inline distT="0" distB="0" distL="0" distR="0">
            <wp:extent cx="4584065" cy="6477635"/>
            <wp:effectExtent l="0" t="0" r="698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5019" cy="6507281"/>
                    </a:xfrm>
                    <a:prstGeom prst="rect">
                      <a:avLst/>
                    </a:prstGeom>
                  </pic:spPr>
                </pic:pic>
              </a:graphicData>
            </a:graphic>
          </wp:inline>
        </w:drawing>
      </w: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等线 Light">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4219573"/>
      <w:docPartObj>
        <w:docPartGallery w:val="autotext"/>
      </w:docPartObj>
    </w:sdtPr>
    <w:sdtEndPr>
      <w:rPr>
        <w:sz w:val="21"/>
        <w:szCs w:val="21"/>
      </w:rPr>
    </w:sdtEndPr>
    <w:sdtContent>
      <w:p>
        <w:pPr>
          <w:pStyle w:val="7"/>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城维计划-城乡规划勘察-广州市城乡规划用地工程地质勘察与地质环境质量评价采购需求书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D3D8F"/>
    <w:multiLevelType w:val="multilevel"/>
    <w:tmpl w:val="75AD3D8F"/>
    <w:lvl w:ilvl="0" w:tentative="0">
      <w:start w:val="1"/>
      <w:numFmt w:val="japaneseCounting"/>
      <w:lvlText w:val="（%1）"/>
      <w:lvlJc w:val="left"/>
      <w:pPr>
        <w:ind w:left="1146"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9D94A5D"/>
    <w:multiLevelType w:val="multilevel"/>
    <w:tmpl w:val="79D94A5D"/>
    <w:lvl w:ilvl="0" w:tentative="0">
      <w:start w:val="1"/>
      <w:numFmt w:val="chineseCountingThousand"/>
      <w:lvlText w:val="%1、"/>
      <w:lvlJc w:val="left"/>
      <w:pPr>
        <w:ind w:left="420" w:hanging="420"/>
      </w:pPr>
      <w:rPr>
        <w:rFonts w:ascii="宋体" w:hAnsi="宋体" w:eastAsia="宋体" w:cs="Times New Roman"/>
        <w:b/>
        <w:sz w:val="30"/>
        <w:szCs w:val="30"/>
        <w:lang w:val="en-US"/>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B9"/>
    <w:rsid w:val="00000022"/>
    <w:rsid w:val="00083551"/>
    <w:rsid w:val="00190C9E"/>
    <w:rsid w:val="001F0C92"/>
    <w:rsid w:val="001F20B9"/>
    <w:rsid w:val="00203781"/>
    <w:rsid w:val="00241BE1"/>
    <w:rsid w:val="00294FFD"/>
    <w:rsid w:val="002A0139"/>
    <w:rsid w:val="00336E14"/>
    <w:rsid w:val="00360A6C"/>
    <w:rsid w:val="00506C40"/>
    <w:rsid w:val="00686632"/>
    <w:rsid w:val="006D7C90"/>
    <w:rsid w:val="006E486B"/>
    <w:rsid w:val="006F7B79"/>
    <w:rsid w:val="00727297"/>
    <w:rsid w:val="008B73EE"/>
    <w:rsid w:val="0092534B"/>
    <w:rsid w:val="00970840"/>
    <w:rsid w:val="00A02F37"/>
    <w:rsid w:val="00A91360"/>
    <w:rsid w:val="00AC56AA"/>
    <w:rsid w:val="00B910CE"/>
    <w:rsid w:val="00C456C2"/>
    <w:rsid w:val="00CC26B2"/>
    <w:rsid w:val="00CC4525"/>
    <w:rsid w:val="00DE0C7B"/>
    <w:rsid w:val="00F26259"/>
    <w:rsid w:val="1B0A4EC8"/>
    <w:rsid w:val="319C4EA4"/>
    <w:rsid w:val="3F426AEA"/>
    <w:rsid w:val="653A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paragraph" w:styleId="2">
    <w:name w:val="heading 2"/>
    <w:basedOn w:val="1"/>
    <w:next w:val="1"/>
    <w:link w:val="20"/>
    <w:qFormat/>
    <w:uiPriority w:val="99"/>
    <w:pPr>
      <w:keepNext/>
      <w:keepLines/>
      <w:spacing w:line="413" w:lineRule="auto"/>
      <w:outlineLvl w:val="1"/>
    </w:pPr>
    <w:rPr>
      <w:rFonts w:ascii="Cambria" w:hAnsi="Cambria"/>
      <w:b/>
      <w:bCs/>
      <w:sz w:val="32"/>
      <w:szCs w:val="32"/>
      <w:lang w:val="zh-CN"/>
    </w:rPr>
  </w:style>
  <w:style w:type="character" w:default="1" w:styleId="14">
    <w:name w:val="Default Paragraph Font"/>
    <w:semiHidden/>
    <w:unhideWhenUsed/>
    <w:qFormat/>
    <w:uiPriority w:val="1"/>
  </w:style>
  <w:style w:type="table" w:default="1" w:styleId="16">
    <w:name w:val="Normal Table"/>
    <w:semiHidden/>
    <w:unhideWhenUsed/>
    <w:uiPriority w:val="99"/>
    <w:tblPr>
      <w:tblLayout w:type="fixed"/>
      <w:tblCellMar>
        <w:top w:w="0" w:type="dxa"/>
        <w:left w:w="108" w:type="dxa"/>
        <w:bottom w:w="0" w:type="dxa"/>
        <w:right w:w="108" w:type="dxa"/>
      </w:tblCellMar>
    </w:tblPr>
  </w:style>
  <w:style w:type="paragraph" w:styleId="3">
    <w:name w:val="toc 7"/>
    <w:basedOn w:val="1"/>
    <w:next w:val="1"/>
    <w:unhideWhenUsed/>
    <w:qFormat/>
    <w:uiPriority w:val="39"/>
    <w:pPr>
      <w:ind w:left="1260"/>
    </w:pPr>
    <w:rPr>
      <w:rFonts w:asciiTheme="minorHAnsi" w:eastAsiaTheme="minorHAnsi"/>
      <w:sz w:val="18"/>
      <w:szCs w:val="18"/>
    </w:rPr>
  </w:style>
  <w:style w:type="paragraph" w:styleId="4">
    <w:name w:val="toc 5"/>
    <w:basedOn w:val="1"/>
    <w:next w:val="1"/>
    <w:unhideWhenUsed/>
    <w:uiPriority w:val="39"/>
    <w:pPr>
      <w:ind w:left="840"/>
    </w:pPr>
    <w:rPr>
      <w:rFonts w:asciiTheme="minorHAnsi" w:eastAsiaTheme="minorHAnsi"/>
      <w:sz w:val="18"/>
      <w:szCs w:val="18"/>
    </w:rPr>
  </w:style>
  <w:style w:type="paragraph" w:styleId="5">
    <w:name w:val="toc 3"/>
    <w:basedOn w:val="1"/>
    <w:next w:val="1"/>
    <w:unhideWhenUsed/>
    <w:qFormat/>
    <w:uiPriority w:val="39"/>
    <w:pPr>
      <w:ind w:left="420"/>
    </w:pPr>
    <w:rPr>
      <w:rFonts w:asciiTheme="minorHAnsi" w:eastAsiaTheme="minorHAnsi"/>
      <w:i/>
      <w:iCs/>
      <w:sz w:val="20"/>
      <w:szCs w:val="20"/>
    </w:rPr>
  </w:style>
  <w:style w:type="paragraph" w:styleId="6">
    <w:name w:val="toc 8"/>
    <w:basedOn w:val="1"/>
    <w:next w:val="1"/>
    <w:unhideWhenUsed/>
    <w:uiPriority w:val="39"/>
    <w:pPr>
      <w:ind w:left="1470"/>
    </w:pPr>
    <w:rPr>
      <w:rFonts w:asciiTheme="minorHAnsi" w:eastAsiaTheme="minorHAnsi"/>
      <w:sz w:val="18"/>
      <w:szCs w:val="18"/>
    </w:rPr>
  </w:style>
  <w:style w:type="paragraph" w:styleId="7">
    <w:name w:val="footer"/>
    <w:basedOn w:val="1"/>
    <w:link w:val="18"/>
    <w:unhideWhenUsed/>
    <w:qFormat/>
    <w:uiPriority w:val="99"/>
    <w:pPr>
      <w:tabs>
        <w:tab w:val="center" w:pos="4153"/>
        <w:tab w:val="right" w:pos="8306"/>
      </w:tabs>
      <w:snapToGrid w:val="0"/>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spacing w:before="120" w:after="120"/>
    </w:pPr>
    <w:rPr>
      <w:rFonts w:asciiTheme="minorHAnsi" w:eastAsiaTheme="minorHAnsi"/>
      <w:b/>
      <w:bCs/>
      <w:caps/>
      <w:sz w:val="20"/>
      <w:szCs w:val="20"/>
    </w:rPr>
  </w:style>
  <w:style w:type="paragraph" w:styleId="10">
    <w:name w:val="toc 4"/>
    <w:basedOn w:val="1"/>
    <w:next w:val="1"/>
    <w:unhideWhenUsed/>
    <w:uiPriority w:val="39"/>
    <w:pPr>
      <w:ind w:left="630"/>
    </w:pPr>
    <w:rPr>
      <w:rFonts w:asciiTheme="minorHAnsi" w:eastAsiaTheme="minorHAnsi"/>
      <w:sz w:val="18"/>
      <w:szCs w:val="18"/>
    </w:rPr>
  </w:style>
  <w:style w:type="paragraph" w:styleId="11">
    <w:name w:val="toc 6"/>
    <w:basedOn w:val="1"/>
    <w:next w:val="1"/>
    <w:unhideWhenUsed/>
    <w:uiPriority w:val="39"/>
    <w:pPr>
      <w:ind w:left="1050"/>
    </w:pPr>
    <w:rPr>
      <w:rFonts w:asciiTheme="minorHAnsi" w:eastAsiaTheme="minorHAnsi"/>
      <w:sz w:val="18"/>
      <w:szCs w:val="18"/>
    </w:rPr>
  </w:style>
  <w:style w:type="paragraph" w:styleId="12">
    <w:name w:val="toc 2"/>
    <w:basedOn w:val="1"/>
    <w:next w:val="1"/>
    <w:unhideWhenUsed/>
    <w:qFormat/>
    <w:uiPriority w:val="39"/>
    <w:pPr>
      <w:ind w:left="210"/>
    </w:pPr>
    <w:rPr>
      <w:rFonts w:asciiTheme="minorHAnsi" w:eastAsiaTheme="minorHAnsi"/>
      <w:smallCaps/>
      <w:sz w:val="20"/>
      <w:szCs w:val="20"/>
    </w:rPr>
  </w:style>
  <w:style w:type="paragraph" w:styleId="13">
    <w:name w:val="toc 9"/>
    <w:basedOn w:val="1"/>
    <w:next w:val="1"/>
    <w:unhideWhenUsed/>
    <w:qFormat/>
    <w:uiPriority w:val="39"/>
    <w:pPr>
      <w:ind w:left="1680"/>
    </w:pPr>
    <w:rPr>
      <w:rFonts w:asciiTheme="minorHAnsi" w:eastAsiaTheme="minorHAnsi"/>
      <w:sz w:val="18"/>
      <w:szCs w:val="18"/>
    </w:rPr>
  </w:style>
  <w:style w:type="character" w:styleId="15">
    <w:name w:val="Hyperlink"/>
    <w:basedOn w:val="14"/>
    <w:unhideWhenUsed/>
    <w:qFormat/>
    <w:uiPriority w:val="99"/>
    <w:rPr>
      <w:color w:val="0000FF"/>
      <w:u w:val="single"/>
    </w:rPr>
  </w:style>
  <w:style w:type="character" w:customStyle="1" w:styleId="17">
    <w:name w:val="页眉 字符"/>
    <w:basedOn w:val="14"/>
    <w:link w:val="8"/>
    <w:uiPriority w:val="99"/>
    <w:rPr>
      <w:sz w:val="18"/>
      <w:szCs w:val="18"/>
    </w:rPr>
  </w:style>
  <w:style w:type="character" w:customStyle="1" w:styleId="18">
    <w:name w:val="页脚 字符"/>
    <w:basedOn w:val="14"/>
    <w:link w:val="7"/>
    <w:uiPriority w:val="99"/>
    <w:rPr>
      <w:sz w:val="18"/>
      <w:szCs w:val="18"/>
    </w:rPr>
  </w:style>
  <w:style w:type="character" w:customStyle="1" w:styleId="19">
    <w:name w:val="标题 2 字符"/>
    <w:basedOn w:val="14"/>
    <w:semiHidden/>
    <w:qFormat/>
    <w:uiPriority w:val="9"/>
    <w:rPr>
      <w:rFonts w:asciiTheme="majorHAnsi" w:hAnsiTheme="majorHAnsi" w:eastAsiaTheme="majorEastAsia" w:cstheme="majorBidi"/>
      <w:b/>
      <w:bCs/>
      <w:kern w:val="0"/>
      <w:sz w:val="32"/>
      <w:szCs w:val="32"/>
    </w:rPr>
  </w:style>
  <w:style w:type="character" w:customStyle="1" w:styleId="20">
    <w:name w:val="标题 2 字符1"/>
    <w:link w:val="2"/>
    <w:qFormat/>
    <w:uiPriority w:val="99"/>
    <w:rPr>
      <w:rFonts w:ascii="Cambria" w:hAnsi="Cambria" w:eastAsia="宋体" w:cs="Times New Roman"/>
      <w:b/>
      <w:bCs/>
      <w:kern w:val="0"/>
      <w:sz w:val="32"/>
      <w:szCs w:val="32"/>
      <w:lang w:val="zh-CN" w:eastAsia="zh-CN"/>
    </w:rPr>
  </w:style>
  <w:style w:type="paragraph" w:customStyle="1" w:styleId="21">
    <w:name w:val="_Style 10"/>
    <w:basedOn w:val="1"/>
    <w:next w:val="22"/>
    <w:link w:val="26"/>
    <w:qFormat/>
    <w:uiPriority w:val="0"/>
    <w:pPr>
      <w:ind w:firstLine="420" w:firstLineChars="200"/>
    </w:pPr>
    <w:rPr>
      <w:lang w:val="zh-CN"/>
    </w:rPr>
  </w:style>
  <w:style w:type="paragraph" w:styleId="22">
    <w:name w:val="List Paragraph"/>
    <w:basedOn w:val="1"/>
    <w:qFormat/>
    <w:uiPriority w:val="34"/>
    <w:pPr>
      <w:ind w:firstLine="420" w:firstLineChars="200"/>
    </w:pPr>
  </w:style>
  <w:style w:type="paragraph" w:customStyle="1" w:styleId="23">
    <w:name w:val="图"/>
    <w:basedOn w:val="1"/>
    <w:qFormat/>
    <w:uiPriority w:val="99"/>
    <w:pPr>
      <w:keepNext/>
      <w:widowControl w:val="0"/>
      <w:adjustRightInd w:val="0"/>
      <w:spacing w:before="60" w:after="60" w:line="300" w:lineRule="auto"/>
      <w:jc w:val="center"/>
      <w:textAlignment w:val="center"/>
    </w:pPr>
    <w:rPr>
      <w:spacing w:val="20"/>
      <w:sz w:val="24"/>
      <w:szCs w:val="20"/>
    </w:rPr>
  </w:style>
  <w:style w:type="character" w:customStyle="1" w:styleId="24">
    <w:name w:val="正文Z Char"/>
    <w:link w:val="25"/>
    <w:qFormat/>
    <w:uiPriority w:val="0"/>
    <w:rPr>
      <w:rFonts w:ascii="宋体" w:hAnsi="宋体"/>
      <w:sz w:val="24"/>
      <w:szCs w:val="21"/>
    </w:rPr>
  </w:style>
  <w:style w:type="paragraph" w:customStyle="1" w:styleId="25">
    <w:name w:val="正文Z"/>
    <w:basedOn w:val="1"/>
    <w:link w:val="24"/>
    <w:qFormat/>
    <w:uiPriority w:val="0"/>
    <w:pPr>
      <w:widowControl w:val="0"/>
      <w:spacing w:line="360" w:lineRule="auto"/>
      <w:ind w:firstLine="480" w:firstLineChars="200"/>
      <w:jc w:val="both"/>
    </w:pPr>
    <w:rPr>
      <w:rFonts w:ascii="宋体" w:hAnsi="宋体" w:eastAsiaTheme="minorEastAsia" w:cstheme="minorBidi"/>
      <w:kern w:val="2"/>
      <w:sz w:val="24"/>
      <w:szCs w:val="21"/>
    </w:rPr>
  </w:style>
  <w:style w:type="character" w:customStyle="1" w:styleId="26">
    <w:name w:val="列出段落 Char"/>
    <w:link w:val="21"/>
    <w:qFormat/>
    <w:locked/>
    <w:uiPriority w:val="0"/>
    <w:rPr>
      <w:sz w:val="21"/>
      <w:szCs w:val="22"/>
    </w:rPr>
  </w:style>
  <w:style w:type="paragraph" w:customStyle="1" w:styleId="27">
    <w:name w:val="WPSOffice手动目录 1"/>
    <w:basedOn w:val="1"/>
    <w:uiPriority w:val="0"/>
    <w:pPr>
      <w:spacing w:before="100" w:beforeAutospacing="1" w:after="100" w:afterAutospacing="1"/>
    </w:pPr>
    <w:rPr>
      <w:rFonts w:ascii="等线" w:hAnsi="等线" w:eastAsia="等线"/>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1873D-AAFF-4724-9518-78F3854DAE8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1040</Words>
  <Characters>5928</Characters>
  <Lines>49</Lines>
  <Paragraphs>13</Paragraphs>
  <TotalTime>193</TotalTime>
  <ScaleCrop>false</ScaleCrop>
  <LinksUpToDate>false</LinksUpToDate>
  <CharactersWithSpaces>6955</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2019-12-27T07:21:00Z</dcterms:created>
  <dc:creator>Administrator</dc:creator>
  <cp:lastModifiedBy>张守文</cp:lastModifiedBy>
  <cp:lastPrinted>2020-01-03T04:53:00Z</cp:lastPrinted>
  <dcterms:modified xsi:type="dcterms:W3CDTF">2020-01-06T02:24:40Z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