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9"/>
        <w:gridCol w:w="2009"/>
        <w:gridCol w:w="2785"/>
        <w:gridCol w:w="50"/>
        <w:gridCol w:w="2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38" w:type="dxa"/>
            <w:gridSpan w:val="5"/>
            <w:vAlign w:val="center"/>
          </w:tcPr>
          <w:p>
            <w:pPr>
              <w:keepNext/>
              <w:keepLines/>
              <w:spacing w:line="480" w:lineRule="exact"/>
              <w:jc w:val="center"/>
              <w:outlineLvl w:val="0"/>
              <w:rPr>
                <w:b/>
                <w:bCs/>
                <w:kern w:val="44"/>
                <w:sz w:val="44"/>
                <w:szCs w:val="44"/>
              </w:rPr>
            </w:pPr>
            <w:r>
              <w:rPr>
                <w:rFonts w:hint="eastAsia"/>
                <w:b/>
                <w:bCs/>
                <w:kern w:val="44"/>
                <w:sz w:val="44"/>
                <w:szCs w:val="44"/>
              </w:rPr>
              <w:t xml:space="preserve"> 庆盛枢纽区块石排新涌以南、横二路以北、</w:t>
            </w:r>
          </w:p>
          <w:p>
            <w:pPr>
              <w:keepNext/>
              <w:keepLines/>
              <w:spacing w:line="480" w:lineRule="exact"/>
              <w:jc w:val="center"/>
              <w:outlineLvl w:val="0"/>
              <w:rPr>
                <w:b/>
                <w:bCs/>
                <w:kern w:val="44"/>
                <w:sz w:val="44"/>
                <w:szCs w:val="44"/>
              </w:rPr>
            </w:pPr>
            <w:r>
              <w:rPr>
                <w:rFonts w:hint="eastAsia"/>
                <w:b/>
                <w:bCs/>
                <w:kern w:val="44"/>
                <w:sz w:val="44"/>
                <w:szCs w:val="44"/>
              </w:rPr>
              <w:t>庆盛大道以东、纵十三路以西地块</w:t>
            </w:r>
          </w:p>
          <w:p>
            <w:pPr>
              <w:keepNext/>
              <w:keepLines/>
              <w:spacing w:line="480" w:lineRule="exact"/>
              <w:jc w:val="center"/>
              <w:outlineLvl w:val="0"/>
              <w:rPr>
                <w:b/>
                <w:bCs/>
                <w:kern w:val="44"/>
                <w:sz w:val="44"/>
                <w:szCs w:val="44"/>
              </w:rPr>
            </w:pPr>
            <w:r>
              <w:rPr>
                <w:rFonts w:hint="eastAsia"/>
                <w:b/>
                <w:bCs/>
                <w:kern w:val="44"/>
                <w:sz w:val="44"/>
                <w:szCs w:val="44"/>
              </w:rPr>
              <w:t>规划设计条件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用地位置</w:t>
            </w:r>
          </w:p>
        </w:tc>
        <w:tc>
          <w:tcPr>
            <w:tcW w:w="7579" w:type="dxa"/>
            <w:gridSpan w:val="4"/>
            <w:vAlign w:val="center"/>
          </w:tcPr>
          <w:p>
            <w:pPr>
              <w:spacing w:line="480" w:lineRule="exact"/>
              <w:jc w:val="center"/>
              <w:rPr>
                <w:rFonts w:ascii="仿宋" w:hAnsi="仿宋" w:eastAsia="仿宋" w:cs="仿宋"/>
                <w:sz w:val="28"/>
                <w:szCs w:val="28"/>
              </w:rPr>
            </w:pPr>
            <w:r>
              <w:rPr>
                <w:rFonts w:hint="eastAsia" w:ascii="仿宋" w:hAnsi="仿宋" w:eastAsia="仿宋" w:cs="仿宋"/>
                <w:color w:val="auto"/>
                <w:sz w:val="28"/>
                <w:szCs w:val="28"/>
              </w:rPr>
              <w:t>东涌镇</w:t>
            </w:r>
            <w:r>
              <w:rPr>
                <w:rFonts w:hint="eastAsia" w:ascii="仿宋" w:hAnsi="仿宋" w:eastAsia="仿宋" w:cs="仿宋"/>
                <w:color w:val="auto"/>
                <w:sz w:val="28"/>
                <w:szCs w:val="28"/>
              </w:rPr>
              <w:t>庆盛枢纽区</w:t>
            </w:r>
            <w:bookmarkStart w:id="0" w:name="_GoBack"/>
            <w:bookmarkEnd w:id="0"/>
            <w:r>
              <w:rPr>
                <w:rFonts w:hint="eastAsia" w:ascii="仿宋" w:hAnsi="仿宋" w:eastAsia="仿宋" w:cs="仿宋"/>
                <w:color w:val="auto"/>
                <w:sz w:val="28"/>
                <w:szCs w:val="28"/>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地形图号</w:t>
            </w:r>
          </w:p>
        </w:tc>
        <w:tc>
          <w:tcPr>
            <w:tcW w:w="7579" w:type="dxa"/>
            <w:gridSpan w:val="4"/>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0</w:t>
            </w:r>
            <w:r>
              <w:rPr>
                <w:rFonts w:ascii="仿宋" w:hAnsi="仿宋" w:eastAsia="仿宋" w:cs="仿宋"/>
                <w:sz w:val="28"/>
                <w:szCs w:val="28"/>
              </w:rPr>
              <w:t>0-58-12</w:t>
            </w:r>
            <w:r>
              <w:rPr>
                <w:rFonts w:hint="eastAsia" w:ascii="仿宋" w:hAnsi="仿宋" w:eastAsia="仿宋" w:cs="仿宋"/>
                <w:sz w:val="28"/>
                <w:szCs w:val="28"/>
              </w:rPr>
              <w:t>,</w:t>
            </w:r>
            <w:r>
              <w:rPr>
                <w:rFonts w:ascii="仿宋" w:hAnsi="仿宋" w:eastAsia="仿宋" w:cs="仿宋"/>
                <w:sz w:val="28"/>
                <w:szCs w:val="28"/>
              </w:rPr>
              <w:t>00-85-16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38" w:type="dxa"/>
            <w:gridSpan w:val="5"/>
            <w:vAlign w:val="center"/>
          </w:tcPr>
          <w:p>
            <w:pPr>
              <w:numPr>
                <w:ilvl w:val="0"/>
                <w:numId w:val="1"/>
              </w:numPr>
              <w:spacing w:line="480" w:lineRule="exact"/>
              <w:jc w:val="center"/>
              <w:rPr>
                <w:rFonts w:ascii="Arial" w:hAnsi="Arial" w:eastAsia="黑体"/>
                <w:b/>
                <w:sz w:val="28"/>
                <w:szCs w:val="28"/>
              </w:rPr>
            </w:pPr>
            <w:r>
              <w:rPr>
                <w:rFonts w:hint="eastAsia" w:ascii="Arial" w:hAnsi="Arial" w:eastAsia="黑体"/>
                <w:b/>
                <w:sz w:val="28"/>
                <w:szCs w:val="28"/>
              </w:rPr>
              <w:t>规划技术指标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总用地性质</w:t>
            </w:r>
          </w:p>
          <w:p>
            <w:pPr>
              <w:spacing w:line="480" w:lineRule="exact"/>
              <w:jc w:val="center"/>
              <w:rPr>
                <w:rFonts w:ascii="仿宋" w:hAnsi="仿宋" w:eastAsia="仿宋" w:cs="仿宋"/>
                <w:sz w:val="28"/>
                <w:szCs w:val="28"/>
              </w:rPr>
            </w:pPr>
            <w:r>
              <w:rPr>
                <w:rFonts w:hint="eastAsia" w:ascii="仿宋" w:hAnsi="仿宋" w:eastAsia="仿宋" w:cs="仿宋"/>
                <w:sz w:val="28"/>
                <w:szCs w:val="28"/>
              </w:rPr>
              <w:t>（含兼容性）</w:t>
            </w:r>
          </w:p>
        </w:tc>
        <w:tc>
          <w:tcPr>
            <w:tcW w:w="200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新兴产业</w:t>
            </w:r>
          </w:p>
          <w:p>
            <w:pPr>
              <w:spacing w:line="480" w:lineRule="exact"/>
              <w:jc w:val="center"/>
              <w:rPr>
                <w:rFonts w:ascii="仿宋" w:hAnsi="仿宋" w:eastAsia="仿宋" w:cs="仿宋"/>
                <w:sz w:val="28"/>
                <w:szCs w:val="28"/>
              </w:rPr>
            </w:pPr>
            <w:r>
              <w:rPr>
                <w:rFonts w:hint="eastAsia" w:ascii="仿宋" w:hAnsi="仿宋" w:eastAsia="仿宋" w:cs="仿宋"/>
                <w:sz w:val="28"/>
                <w:szCs w:val="28"/>
              </w:rPr>
              <w:t>园用地（M</w:t>
            </w:r>
            <w:r>
              <w:rPr>
                <w:rFonts w:ascii="仿宋" w:hAnsi="仿宋" w:eastAsia="仿宋" w:cs="仿宋"/>
                <w:sz w:val="28"/>
                <w:szCs w:val="28"/>
              </w:rPr>
              <w:t>9</w:t>
            </w:r>
            <w:r>
              <w:rPr>
                <w:rFonts w:hint="eastAsia" w:ascii="仿宋" w:hAnsi="仿宋" w:eastAsia="仿宋" w:cs="仿宋"/>
                <w:sz w:val="28"/>
                <w:szCs w:val="28"/>
              </w:rPr>
              <w:t>）</w:t>
            </w:r>
          </w:p>
        </w:tc>
        <w:tc>
          <w:tcPr>
            <w:tcW w:w="278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总计算容积率建筑面积（㎡）</w:t>
            </w:r>
          </w:p>
        </w:tc>
        <w:tc>
          <w:tcPr>
            <w:tcW w:w="278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≤138228（其中：产业用途建筑计容建筑面积占比≥9</w:t>
            </w:r>
            <w:r>
              <w:rPr>
                <w:rFonts w:ascii="仿宋" w:hAnsi="仿宋" w:eastAsia="仿宋" w:cs="仿宋"/>
                <w:sz w:val="28"/>
                <w:szCs w:val="28"/>
              </w:rPr>
              <w:t>8%</w:t>
            </w:r>
            <w:r>
              <w:rPr>
                <w:rFonts w:hint="eastAsia" w:ascii="仿宋" w:hAnsi="仿宋" w:eastAsia="仿宋" w:cs="仿宋"/>
                <w:sz w:val="28"/>
                <w:szCs w:val="28"/>
              </w:rPr>
              <w:t>，商业用途建筑计容建筑面积占比≤2</w:t>
            </w:r>
            <w:r>
              <w:rPr>
                <w:rFonts w:ascii="仿宋" w:hAnsi="仿宋" w:eastAsia="仿宋" w:cs="仿宋"/>
                <w:sz w:val="28"/>
                <w:szCs w:val="28"/>
              </w:rPr>
              <w:t>%</w:t>
            </w:r>
            <w:r>
              <w:rPr>
                <w:rFonts w:hint="eastAsia" w:ascii="仿宋" w:hAnsi="仿宋" w:eastAsia="仿宋" w:cs="仿宋"/>
                <w:sz w:val="28"/>
                <w:szCs w:val="28"/>
              </w:rPr>
              <w:t>。</w:t>
            </w:r>
            <w:r>
              <w:rPr>
                <w:rFonts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59" w:type="dxa"/>
            <w:vMerge w:val="restart"/>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总用地面积（㎡）</w:t>
            </w:r>
          </w:p>
        </w:tc>
        <w:tc>
          <w:tcPr>
            <w:tcW w:w="2009" w:type="dxa"/>
            <w:vMerge w:val="restart"/>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4</w:t>
            </w:r>
            <w:r>
              <w:rPr>
                <w:rFonts w:ascii="仿宋" w:hAnsi="仿宋" w:eastAsia="仿宋" w:cs="仿宋"/>
                <w:sz w:val="28"/>
                <w:szCs w:val="28"/>
              </w:rPr>
              <w:t>1114</w:t>
            </w:r>
          </w:p>
        </w:tc>
        <w:tc>
          <w:tcPr>
            <w:tcW w:w="278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可建设用地面积（㎡）</w:t>
            </w:r>
          </w:p>
        </w:tc>
        <w:tc>
          <w:tcPr>
            <w:tcW w:w="278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4</w:t>
            </w:r>
            <w:r>
              <w:rPr>
                <w:rFonts w:ascii="仿宋" w:hAnsi="仿宋" w:eastAsia="仿宋" w:cs="仿宋"/>
                <w:sz w:val="28"/>
                <w:szCs w:val="28"/>
              </w:rPr>
              <w:t>1114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Merge w:val="continue"/>
            <w:vAlign w:val="center"/>
          </w:tcPr>
          <w:p>
            <w:pPr>
              <w:spacing w:line="480" w:lineRule="exact"/>
              <w:jc w:val="center"/>
              <w:rPr>
                <w:rFonts w:ascii="仿宋" w:hAnsi="仿宋" w:eastAsia="仿宋" w:cs="仿宋"/>
                <w:sz w:val="28"/>
                <w:szCs w:val="28"/>
              </w:rPr>
            </w:pPr>
          </w:p>
        </w:tc>
        <w:tc>
          <w:tcPr>
            <w:tcW w:w="2009" w:type="dxa"/>
            <w:vMerge w:val="continue"/>
            <w:vAlign w:val="center"/>
          </w:tcPr>
          <w:p>
            <w:pPr>
              <w:spacing w:line="480" w:lineRule="exact"/>
              <w:jc w:val="center"/>
              <w:rPr>
                <w:rFonts w:ascii="仿宋" w:hAnsi="仿宋" w:eastAsia="仿宋" w:cs="仿宋"/>
                <w:sz w:val="28"/>
                <w:szCs w:val="28"/>
              </w:rPr>
            </w:pPr>
          </w:p>
        </w:tc>
        <w:tc>
          <w:tcPr>
            <w:tcW w:w="278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道路用地面积（㎡）</w:t>
            </w:r>
          </w:p>
        </w:tc>
        <w:tc>
          <w:tcPr>
            <w:tcW w:w="278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Merge w:val="continue"/>
            <w:vAlign w:val="center"/>
          </w:tcPr>
          <w:p>
            <w:pPr>
              <w:spacing w:line="480" w:lineRule="exact"/>
              <w:jc w:val="center"/>
              <w:rPr>
                <w:rFonts w:ascii="仿宋" w:hAnsi="仿宋" w:eastAsia="仿宋" w:cs="仿宋"/>
                <w:sz w:val="28"/>
                <w:szCs w:val="28"/>
              </w:rPr>
            </w:pPr>
          </w:p>
        </w:tc>
        <w:tc>
          <w:tcPr>
            <w:tcW w:w="2009" w:type="dxa"/>
            <w:vMerge w:val="continue"/>
            <w:vAlign w:val="center"/>
          </w:tcPr>
          <w:p>
            <w:pPr>
              <w:spacing w:line="480" w:lineRule="exact"/>
              <w:jc w:val="center"/>
              <w:rPr>
                <w:rFonts w:ascii="仿宋" w:hAnsi="仿宋" w:eastAsia="仿宋" w:cs="仿宋"/>
                <w:sz w:val="28"/>
                <w:szCs w:val="28"/>
              </w:rPr>
            </w:pPr>
          </w:p>
        </w:tc>
        <w:tc>
          <w:tcPr>
            <w:tcW w:w="278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绿地用地面积（㎡）</w:t>
            </w:r>
          </w:p>
        </w:tc>
        <w:tc>
          <w:tcPr>
            <w:tcW w:w="278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Merge w:val="continue"/>
            <w:vAlign w:val="center"/>
          </w:tcPr>
          <w:p>
            <w:pPr>
              <w:spacing w:line="480" w:lineRule="exact"/>
              <w:jc w:val="center"/>
              <w:rPr>
                <w:rFonts w:ascii="仿宋" w:hAnsi="仿宋" w:eastAsia="仿宋" w:cs="仿宋"/>
                <w:sz w:val="28"/>
                <w:szCs w:val="28"/>
              </w:rPr>
            </w:pPr>
          </w:p>
        </w:tc>
        <w:tc>
          <w:tcPr>
            <w:tcW w:w="2009" w:type="dxa"/>
            <w:vMerge w:val="continue"/>
            <w:vAlign w:val="center"/>
          </w:tcPr>
          <w:p>
            <w:pPr>
              <w:spacing w:line="480" w:lineRule="exact"/>
              <w:jc w:val="center"/>
              <w:rPr>
                <w:rFonts w:ascii="仿宋" w:hAnsi="仿宋" w:eastAsia="仿宋" w:cs="仿宋"/>
                <w:sz w:val="28"/>
                <w:szCs w:val="28"/>
              </w:rPr>
            </w:pPr>
          </w:p>
        </w:tc>
        <w:tc>
          <w:tcPr>
            <w:tcW w:w="278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河涌用地面积（㎡）</w:t>
            </w:r>
          </w:p>
        </w:tc>
        <w:tc>
          <w:tcPr>
            <w:tcW w:w="278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38" w:type="dxa"/>
            <w:gridSpan w:val="5"/>
            <w:vAlign w:val="center"/>
          </w:tcPr>
          <w:p>
            <w:pPr>
              <w:spacing w:line="480" w:lineRule="exact"/>
              <w:jc w:val="center"/>
              <w:rPr>
                <w:rFonts w:ascii="仿宋" w:hAnsi="仿宋" w:eastAsia="仿宋" w:cs="仿宋"/>
                <w:sz w:val="28"/>
                <w:szCs w:val="28"/>
              </w:rPr>
            </w:pPr>
            <w:r>
              <w:rPr>
                <w:rFonts w:hint="eastAsia" w:ascii="仿宋" w:hAnsi="仿宋" w:eastAsia="仿宋" w:cs="仿宋"/>
                <w:b/>
                <w:bCs/>
                <w:sz w:val="28"/>
                <w:szCs w:val="28"/>
              </w:rPr>
              <w:t>各分地块指标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分地块1编码</w:t>
            </w:r>
          </w:p>
        </w:tc>
        <w:tc>
          <w:tcPr>
            <w:tcW w:w="2009" w:type="dxa"/>
            <w:vAlign w:val="center"/>
          </w:tcPr>
          <w:p>
            <w:pPr>
              <w:spacing w:line="480" w:lineRule="exact"/>
              <w:jc w:val="center"/>
              <w:rPr>
                <w:rFonts w:ascii="仿宋" w:hAnsi="仿宋" w:eastAsia="仿宋" w:cs="仿宋"/>
                <w:sz w:val="28"/>
                <w:szCs w:val="28"/>
              </w:rPr>
            </w:pPr>
            <w:r>
              <w:rPr>
                <w:rFonts w:ascii="仿宋" w:hAnsi="仿宋" w:eastAsia="仿宋" w:cs="仿宋"/>
                <w:sz w:val="28"/>
                <w:szCs w:val="28"/>
              </w:rPr>
              <w:t>DC0303032</w:t>
            </w:r>
          </w:p>
        </w:tc>
        <w:tc>
          <w:tcPr>
            <w:tcW w:w="2785" w:type="dxa"/>
            <w:vMerge w:val="restart"/>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用地性质</w:t>
            </w:r>
          </w:p>
          <w:p>
            <w:pPr>
              <w:spacing w:line="480" w:lineRule="exact"/>
              <w:jc w:val="center"/>
              <w:rPr>
                <w:rFonts w:ascii="仿宋" w:hAnsi="仿宋" w:eastAsia="仿宋" w:cs="仿宋"/>
                <w:sz w:val="28"/>
                <w:szCs w:val="28"/>
              </w:rPr>
            </w:pPr>
            <w:r>
              <w:rPr>
                <w:rFonts w:hint="eastAsia" w:ascii="仿宋" w:hAnsi="仿宋" w:eastAsia="仿宋" w:cs="仿宋"/>
                <w:sz w:val="28"/>
                <w:szCs w:val="28"/>
              </w:rPr>
              <w:t>（含兼容性）</w:t>
            </w:r>
          </w:p>
        </w:tc>
        <w:tc>
          <w:tcPr>
            <w:tcW w:w="2785" w:type="dxa"/>
            <w:gridSpan w:val="2"/>
            <w:vMerge w:val="restart"/>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新兴产业园用地</w:t>
            </w:r>
          </w:p>
          <w:p>
            <w:pPr>
              <w:spacing w:line="480" w:lineRule="exact"/>
              <w:jc w:val="center"/>
              <w:rPr>
                <w:rFonts w:ascii="仿宋" w:hAnsi="仿宋" w:eastAsia="仿宋" w:cs="仿宋"/>
                <w:sz w:val="28"/>
                <w:szCs w:val="28"/>
              </w:rPr>
            </w:pPr>
            <w:r>
              <w:rPr>
                <w:rFonts w:hint="eastAsia" w:ascii="仿宋" w:hAnsi="仿宋" w:eastAsia="仿宋" w:cs="仿宋"/>
                <w:sz w:val="28"/>
                <w:szCs w:val="28"/>
              </w:rPr>
              <w:t>（M</w:t>
            </w:r>
            <w:r>
              <w:rPr>
                <w:rFonts w:ascii="仿宋" w:hAnsi="仿宋" w:eastAsia="仿宋" w:cs="仿宋"/>
                <w:sz w:val="28"/>
                <w:szCs w:val="28"/>
              </w:rPr>
              <w:t>9</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用地面积（㎡）</w:t>
            </w:r>
          </w:p>
        </w:tc>
        <w:tc>
          <w:tcPr>
            <w:tcW w:w="200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7</w:t>
            </w:r>
            <w:r>
              <w:rPr>
                <w:rFonts w:ascii="仿宋" w:hAnsi="仿宋" w:eastAsia="仿宋" w:cs="仿宋"/>
                <w:sz w:val="28"/>
                <w:szCs w:val="28"/>
              </w:rPr>
              <w:t>627</w:t>
            </w:r>
          </w:p>
        </w:tc>
        <w:tc>
          <w:tcPr>
            <w:tcW w:w="2785" w:type="dxa"/>
            <w:vMerge w:val="continue"/>
            <w:vAlign w:val="center"/>
          </w:tcPr>
          <w:p>
            <w:pPr>
              <w:spacing w:line="480" w:lineRule="exact"/>
              <w:jc w:val="center"/>
              <w:rPr>
                <w:rFonts w:ascii="仿宋" w:hAnsi="仿宋" w:eastAsia="仿宋" w:cs="仿宋"/>
                <w:sz w:val="28"/>
                <w:szCs w:val="28"/>
              </w:rPr>
            </w:pPr>
          </w:p>
        </w:tc>
        <w:tc>
          <w:tcPr>
            <w:tcW w:w="2785" w:type="dxa"/>
            <w:gridSpan w:val="2"/>
            <w:vMerge w:val="continue"/>
            <w:vAlign w:val="center"/>
          </w:tcPr>
          <w:p>
            <w:pPr>
              <w:spacing w:line="480" w:lineRule="exact"/>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地上容积率</w:t>
            </w:r>
          </w:p>
        </w:tc>
        <w:tc>
          <w:tcPr>
            <w:tcW w:w="200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u w:val="single"/>
              </w:rPr>
              <w:t>2.0</w:t>
            </w:r>
          </w:p>
        </w:tc>
        <w:tc>
          <w:tcPr>
            <w:tcW w:w="278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地下容积率</w:t>
            </w:r>
          </w:p>
        </w:tc>
        <w:tc>
          <w:tcPr>
            <w:tcW w:w="278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计算容积率建筑面积（㎡）</w:t>
            </w:r>
          </w:p>
        </w:tc>
        <w:tc>
          <w:tcPr>
            <w:tcW w:w="2009" w:type="dxa"/>
            <w:vMerge w:val="restart"/>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u w:val="single"/>
              </w:rPr>
              <w:t>15254</w:t>
            </w:r>
          </w:p>
        </w:tc>
        <w:tc>
          <w:tcPr>
            <w:tcW w:w="278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地上计算容积率建筑面积（㎡）</w:t>
            </w:r>
          </w:p>
        </w:tc>
        <w:tc>
          <w:tcPr>
            <w:tcW w:w="278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u w:val="single"/>
              </w:rPr>
              <w:t>15254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2059" w:type="dxa"/>
            <w:vAlign w:val="center"/>
          </w:tcPr>
          <w:p>
            <w:pPr>
              <w:spacing w:line="480" w:lineRule="exact"/>
              <w:jc w:val="center"/>
              <w:rPr>
                <w:rFonts w:ascii="仿宋" w:hAnsi="仿宋" w:eastAsia="仿宋" w:cs="仿宋"/>
                <w:sz w:val="28"/>
                <w:szCs w:val="28"/>
              </w:rPr>
            </w:pPr>
          </w:p>
        </w:tc>
        <w:tc>
          <w:tcPr>
            <w:tcW w:w="2009" w:type="dxa"/>
            <w:vMerge w:val="continue"/>
            <w:vAlign w:val="center"/>
          </w:tcPr>
          <w:p>
            <w:pPr>
              <w:spacing w:line="480" w:lineRule="exact"/>
              <w:jc w:val="center"/>
              <w:rPr>
                <w:rFonts w:ascii="仿宋" w:hAnsi="仿宋" w:eastAsia="仿宋" w:cs="仿宋"/>
                <w:sz w:val="28"/>
                <w:szCs w:val="28"/>
              </w:rPr>
            </w:pPr>
          </w:p>
        </w:tc>
        <w:tc>
          <w:tcPr>
            <w:tcW w:w="278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地下空间计算容积率建筑面积（㎡）</w:t>
            </w:r>
          </w:p>
        </w:tc>
        <w:tc>
          <w:tcPr>
            <w:tcW w:w="278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建筑密度（%）</w:t>
            </w:r>
          </w:p>
        </w:tc>
        <w:tc>
          <w:tcPr>
            <w:tcW w:w="200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u w:val="single"/>
              </w:rPr>
              <w:t>5</w:t>
            </w:r>
            <w:r>
              <w:rPr>
                <w:rFonts w:ascii="仿宋" w:hAnsi="仿宋" w:eastAsia="仿宋" w:cs="仿宋"/>
                <w:sz w:val="28"/>
                <w:szCs w:val="28"/>
                <w:u w:val="single"/>
              </w:rPr>
              <w:t>0</w:t>
            </w:r>
          </w:p>
        </w:tc>
        <w:tc>
          <w:tcPr>
            <w:tcW w:w="278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绿地率（%）</w:t>
            </w:r>
          </w:p>
        </w:tc>
        <w:tc>
          <w:tcPr>
            <w:tcW w:w="278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u w:val="single"/>
              </w:rPr>
              <w:t>1</w:t>
            </w:r>
            <w:r>
              <w:rPr>
                <w:rFonts w:ascii="仿宋" w:hAnsi="仿宋" w:eastAsia="仿宋" w:cs="仿宋"/>
                <w:sz w:val="28"/>
                <w:szCs w:val="28"/>
                <w:u w:val="singl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建筑控高（m）</w:t>
            </w:r>
          </w:p>
        </w:tc>
        <w:tc>
          <w:tcPr>
            <w:tcW w:w="7579" w:type="dxa"/>
            <w:gridSpan w:val="4"/>
            <w:vAlign w:val="center"/>
          </w:tcPr>
          <w:p>
            <w:pPr>
              <w:spacing w:line="480" w:lineRule="exact"/>
              <w:jc w:val="left"/>
              <w:rPr>
                <w:rFonts w:ascii="仿宋" w:hAnsi="仿宋" w:eastAsia="仿宋" w:cs="仿宋"/>
                <w:sz w:val="28"/>
                <w:szCs w:val="28"/>
                <w:u w:val="single"/>
              </w:rPr>
            </w:pPr>
            <w:r>
              <w:rPr>
                <w:rFonts w:hint="eastAsia" w:ascii="仿宋" w:hAnsi="仿宋" w:eastAsia="仿宋" w:cs="仿宋"/>
                <w:b/>
                <w:bCs/>
                <w:sz w:val="28"/>
                <w:szCs w:val="28"/>
              </w:rPr>
              <w:t>一般要求：</w:t>
            </w:r>
            <w:r>
              <w:rPr>
                <w:rFonts w:hint="eastAsia" w:ascii="仿宋" w:hAnsi="仿宋" w:eastAsia="仿宋" w:cs="仿宋"/>
                <w:sz w:val="28"/>
                <w:szCs w:val="28"/>
              </w:rPr>
              <w:t>≤</w:t>
            </w:r>
            <w:r>
              <w:rPr>
                <w:rFonts w:hint="eastAsia" w:ascii="仿宋" w:hAnsi="仿宋" w:eastAsia="仿宋" w:cs="仿宋"/>
                <w:sz w:val="28"/>
                <w:szCs w:val="28"/>
                <w:u w:val="single"/>
              </w:rPr>
              <w:t>2</w:t>
            </w:r>
            <w:r>
              <w:rPr>
                <w:rFonts w:ascii="仿宋" w:hAnsi="仿宋" w:eastAsia="仿宋" w:cs="仿宋"/>
                <w:sz w:val="28"/>
                <w:szCs w:val="28"/>
                <w:u w:val="single"/>
              </w:rPr>
              <w:t>4m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分地块2编码</w:t>
            </w:r>
          </w:p>
        </w:tc>
        <w:tc>
          <w:tcPr>
            <w:tcW w:w="2009" w:type="dxa"/>
            <w:vAlign w:val="center"/>
          </w:tcPr>
          <w:p>
            <w:pPr>
              <w:spacing w:line="480" w:lineRule="exact"/>
              <w:jc w:val="center"/>
              <w:rPr>
                <w:rFonts w:ascii="仿宋" w:hAnsi="仿宋" w:eastAsia="仿宋" w:cs="仿宋"/>
                <w:sz w:val="28"/>
                <w:szCs w:val="28"/>
              </w:rPr>
            </w:pPr>
            <w:r>
              <w:rPr>
                <w:rFonts w:ascii="仿宋" w:hAnsi="仿宋" w:eastAsia="仿宋" w:cs="仿宋"/>
                <w:sz w:val="28"/>
                <w:szCs w:val="28"/>
              </w:rPr>
              <w:t>DC0303037</w:t>
            </w:r>
          </w:p>
        </w:tc>
        <w:tc>
          <w:tcPr>
            <w:tcW w:w="2835" w:type="dxa"/>
            <w:gridSpan w:val="2"/>
            <w:vMerge w:val="restart"/>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用地性质</w:t>
            </w:r>
          </w:p>
          <w:p>
            <w:pPr>
              <w:spacing w:line="480" w:lineRule="exact"/>
              <w:jc w:val="center"/>
              <w:rPr>
                <w:rFonts w:ascii="仿宋" w:hAnsi="仿宋" w:eastAsia="仿宋" w:cs="仿宋"/>
                <w:sz w:val="28"/>
                <w:szCs w:val="28"/>
              </w:rPr>
            </w:pPr>
            <w:r>
              <w:rPr>
                <w:rFonts w:hint="eastAsia" w:ascii="仿宋" w:hAnsi="仿宋" w:eastAsia="仿宋" w:cs="仿宋"/>
                <w:sz w:val="28"/>
                <w:szCs w:val="28"/>
              </w:rPr>
              <w:t>（含兼容性）</w:t>
            </w:r>
          </w:p>
        </w:tc>
        <w:tc>
          <w:tcPr>
            <w:tcW w:w="2735" w:type="dxa"/>
            <w:vMerge w:val="restart"/>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新兴产业园用地（M</w:t>
            </w:r>
            <w:r>
              <w:rPr>
                <w:rFonts w:ascii="仿宋" w:hAnsi="仿宋" w:eastAsia="仿宋" w:cs="仿宋"/>
                <w:sz w:val="28"/>
                <w:szCs w:val="28"/>
              </w:rPr>
              <w:t>9</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用地面积（㎡）</w:t>
            </w:r>
          </w:p>
        </w:tc>
        <w:tc>
          <w:tcPr>
            <w:tcW w:w="200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2</w:t>
            </w:r>
            <w:r>
              <w:rPr>
                <w:rFonts w:ascii="仿宋" w:hAnsi="仿宋" w:eastAsia="仿宋" w:cs="仿宋"/>
                <w:sz w:val="28"/>
                <w:szCs w:val="28"/>
              </w:rPr>
              <w:t>2513</w:t>
            </w:r>
          </w:p>
        </w:tc>
        <w:tc>
          <w:tcPr>
            <w:tcW w:w="2835" w:type="dxa"/>
            <w:gridSpan w:val="2"/>
            <w:vMerge w:val="continue"/>
            <w:vAlign w:val="center"/>
          </w:tcPr>
          <w:p>
            <w:pPr>
              <w:spacing w:line="480" w:lineRule="exact"/>
              <w:jc w:val="left"/>
              <w:rPr>
                <w:rFonts w:ascii="仿宋" w:hAnsi="仿宋" w:eastAsia="仿宋" w:cs="仿宋"/>
                <w:b/>
                <w:bCs/>
                <w:sz w:val="28"/>
                <w:szCs w:val="28"/>
              </w:rPr>
            </w:pPr>
          </w:p>
        </w:tc>
        <w:tc>
          <w:tcPr>
            <w:tcW w:w="2735" w:type="dxa"/>
            <w:vMerge w:val="continue"/>
            <w:vAlign w:val="center"/>
          </w:tcPr>
          <w:p>
            <w:pPr>
              <w:spacing w:line="480" w:lineRule="exact"/>
              <w:jc w:val="left"/>
              <w:rPr>
                <w:rFonts w:ascii="仿宋" w:hAnsi="仿宋" w:eastAsia="仿宋" w:cs="仿宋"/>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地上容积率</w:t>
            </w:r>
          </w:p>
        </w:tc>
        <w:tc>
          <w:tcPr>
            <w:tcW w:w="200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u w:val="single"/>
              </w:rPr>
              <w:t>4.0</w:t>
            </w:r>
          </w:p>
        </w:tc>
        <w:tc>
          <w:tcPr>
            <w:tcW w:w="283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地下容积率</w:t>
            </w:r>
          </w:p>
        </w:tc>
        <w:tc>
          <w:tcPr>
            <w:tcW w:w="273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2059" w:type="dxa"/>
            <w:vMerge w:val="restart"/>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计算容积率建筑面积（㎡）</w:t>
            </w:r>
          </w:p>
        </w:tc>
        <w:tc>
          <w:tcPr>
            <w:tcW w:w="2009" w:type="dxa"/>
            <w:vMerge w:val="restart"/>
            <w:vAlign w:val="center"/>
          </w:tcPr>
          <w:p>
            <w:pPr>
              <w:spacing w:line="480" w:lineRule="exact"/>
              <w:jc w:val="center"/>
              <w:rPr>
                <w:rFonts w:ascii="仿宋" w:hAnsi="仿宋" w:eastAsia="仿宋" w:cs="仿宋"/>
                <w:b/>
                <w:bCs/>
                <w:sz w:val="28"/>
                <w:szCs w:val="28"/>
              </w:rPr>
            </w:pPr>
            <w:r>
              <w:rPr>
                <w:rFonts w:hint="eastAsia" w:ascii="仿宋" w:hAnsi="仿宋" w:eastAsia="仿宋" w:cs="仿宋"/>
                <w:sz w:val="28"/>
                <w:szCs w:val="28"/>
              </w:rPr>
              <w:t>≤</w:t>
            </w:r>
            <w:r>
              <w:rPr>
                <w:rFonts w:ascii="仿宋" w:hAnsi="仿宋" w:eastAsia="仿宋" w:cs="仿宋"/>
                <w:sz w:val="28"/>
                <w:szCs w:val="28"/>
                <w:u w:val="single"/>
              </w:rPr>
              <w:t>90052</w:t>
            </w:r>
          </w:p>
        </w:tc>
        <w:tc>
          <w:tcPr>
            <w:tcW w:w="283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地上计算容积率建筑面积（㎡）</w:t>
            </w:r>
          </w:p>
        </w:tc>
        <w:tc>
          <w:tcPr>
            <w:tcW w:w="273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u w:val="single"/>
              </w:rPr>
              <w:t>90052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Merge w:val="continue"/>
            <w:vAlign w:val="center"/>
          </w:tcPr>
          <w:p>
            <w:pPr>
              <w:spacing w:line="480" w:lineRule="exact"/>
              <w:jc w:val="center"/>
              <w:rPr>
                <w:rFonts w:ascii="仿宋" w:hAnsi="仿宋" w:eastAsia="仿宋" w:cs="仿宋"/>
                <w:sz w:val="28"/>
                <w:szCs w:val="28"/>
              </w:rPr>
            </w:pPr>
          </w:p>
        </w:tc>
        <w:tc>
          <w:tcPr>
            <w:tcW w:w="2009" w:type="dxa"/>
            <w:vMerge w:val="continue"/>
            <w:vAlign w:val="center"/>
          </w:tcPr>
          <w:p>
            <w:pPr>
              <w:spacing w:line="480" w:lineRule="exact"/>
              <w:jc w:val="left"/>
              <w:rPr>
                <w:rFonts w:ascii="仿宋" w:hAnsi="仿宋" w:eastAsia="仿宋" w:cs="仿宋"/>
                <w:b/>
                <w:bCs/>
                <w:sz w:val="28"/>
                <w:szCs w:val="28"/>
              </w:rPr>
            </w:pPr>
          </w:p>
        </w:tc>
        <w:tc>
          <w:tcPr>
            <w:tcW w:w="283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地下空间计算容积率建筑面积（㎡）</w:t>
            </w:r>
          </w:p>
        </w:tc>
        <w:tc>
          <w:tcPr>
            <w:tcW w:w="273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建筑密度（%）</w:t>
            </w:r>
          </w:p>
        </w:tc>
        <w:tc>
          <w:tcPr>
            <w:tcW w:w="200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u w:val="single"/>
              </w:rPr>
              <w:t>65</w:t>
            </w:r>
          </w:p>
        </w:tc>
        <w:tc>
          <w:tcPr>
            <w:tcW w:w="283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绿地率（%）</w:t>
            </w:r>
          </w:p>
        </w:tc>
        <w:tc>
          <w:tcPr>
            <w:tcW w:w="273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u w:val="single"/>
              </w:rPr>
              <w:t>1</w:t>
            </w:r>
            <w:r>
              <w:rPr>
                <w:rFonts w:ascii="仿宋" w:hAnsi="仿宋" w:eastAsia="仿宋" w:cs="仿宋"/>
                <w:sz w:val="28"/>
                <w:szCs w:val="28"/>
                <w:u w:val="singl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建筑控高（m）</w:t>
            </w:r>
          </w:p>
        </w:tc>
        <w:tc>
          <w:tcPr>
            <w:tcW w:w="7579" w:type="dxa"/>
            <w:gridSpan w:val="4"/>
            <w:vAlign w:val="center"/>
          </w:tcPr>
          <w:p>
            <w:pPr>
              <w:spacing w:line="480" w:lineRule="exact"/>
              <w:jc w:val="left"/>
              <w:rPr>
                <w:rFonts w:ascii="仿宋" w:hAnsi="仿宋" w:eastAsia="仿宋" w:cs="仿宋"/>
                <w:sz w:val="28"/>
                <w:szCs w:val="28"/>
                <w:u w:val="single"/>
              </w:rPr>
            </w:pPr>
            <w:r>
              <w:rPr>
                <w:rFonts w:hint="eastAsia" w:ascii="仿宋" w:hAnsi="仿宋" w:eastAsia="仿宋" w:cs="仿宋"/>
                <w:b/>
                <w:bCs/>
                <w:sz w:val="28"/>
                <w:szCs w:val="28"/>
              </w:rPr>
              <w:t>一般要求：</w:t>
            </w:r>
            <w:r>
              <w:rPr>
                <w:rFonts w:hint="eastAsia" w:ascii="仿宋" w:hAnsi="仿宋" w:eastAsia="仿宋" w:cs="仿宋"/>
                <w:sz w:val="28"/>
                <w:szCs w:val="28"/>
              </w:rPr>
              <w:t>≤</w:t>
            </w:r>
            <w:r>
              <w:rPr>
                <w:rFonts w:ascii="仿宋" w:hAnsi="仿宋" w:eastAsia="仿宋" w:cs="仿宋"/>
                <w:sz w:val="28"/>
                <w:szCs w:val="28"/>
                <w:u w:val="single"/>
              </w:rPr>
              <w:t>80m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分地块</w:t>
            </w:r>
            <w:r>
              <w:rPr>
                <w:rFonts w:ascii="仿宋" w:hAnsi="仿宋" w:eastAsia="仿宋" w:cs="仿宋"/>
                <w:sz w:val="28"/>
                <w:szCs w:val="28"/>
              </w:rPr>
              <w:t>3</w:t>
            </w:r>
            <w:r>
              <w:rPr>
                <w:rFonts w:hint="eastAsia" w:ascii="仿宋" w:hAnsi="仿宋" w:eastAsia="仿宋" w:cs="仿宋"/>
                <w:sz w:val="28"/>
                <w:szCs w:val="28"/>
              </w:rPr>
              <w:t>编码</w:t>
            </w:r>
          </w:p>
        </w:tc>
        <w:tc>
          <w:tcPr>
            <w:tcW w:w="2009" w:type="dxa"/>
            <w:vAlign w:val="center"/>
          </w:tcPr>
          <w:p>
            <w:pPr>
              <w:spacing w:line="480" w:lineRule="exact"/>
              <w:jc w:val="center"/>
              <w:rPr>
                <w:rFonts w:ascii="仿宋" w:hAnsi="仿宋" w:eastAsia="仿宋" w:cs="仿宋"/>
                <w:sz w:val="28"/>
                <w:szCs w:val="28"/>
              </w:rPr>
            </w:pPr>
            <w:r>
              <w:rPr>
                <w:rFonts w:ascii="仿宋" w:hAnsi="仿宋" w:eastAsia="仿宋" w:cs="仿宋"/>
                <w:sz w:val="28"/>
                <w:szCs w:val="28"/>
              </w:rPr>
              <w:t>DC0303038</w:t>
            </w:r>
          </w:p>
        </w:tc>
        <w:tc>
          <w:tcPr>
            <w:tcW w:w="2835" w:type="dxa"/>
            <w:gridSpan w:val="2"/>
            <w:vMerge w:val="restart"/>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用地性质</w:t>
            </w:r>
          </w:p>
          <w:p>
            <w:pPr>
              <w:spacing w:line="480" w:lineRule="exact"/>
              <w:jc w:val="center"/>
              <w:rPr>
                <w:rFonts w:ascii="仿宋" w:hAnsi="仿宋" w:eastAsia="仿宋" w:cs="仿宋"/>
                <w:sz w:val="28"/>
                <w:szCs w:val="28"/>
              </w:rPr>
            </w:pPr>
            <w:r>
              <w:rPr>
                <w:rFonts w:hint="eastAsia" w:ascii="仿宋" w:hAnsi="仿宋" w:eastAsia="仿宋" w:cs="仿宋"/>
                <w:sz w:val="28"/>
                <w:szCs w:val="28"/>
              </w:rPr>
              <w:t>（含兼容性）</w:t>
            </w:r>
          </w:p>
        </w:tc>
        <w:tc>
          <w:tcPr>
            <w:tcW w:w="2735" w:type="dxa"/>
            <w:vMerge w:val="restart"/>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新兴产业园用地（M</w:t>
            </w:r>
            <w:r>
              <w:rPr>
                <w:rFonts w:ascii="仿宋" w:hAnsi="仿宋" w:eastAsia="仿宋" w:cs="仿宋"/>
                <w:sz w:val="28"/>
                <w:szCs w:val="28"/>
              </w:rPr>
              <w:t>9</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用地面积（㎡）</w:t>
            </w:r>
          </w:p>
        </w:tc>
        <w:tc>
          <w:tcPr>
            <w:tcW w:w="2009" w:type="dxa"/>
            <w:vAlign w:val="center"/>
          </w:tcPr>
          <w:p>
            <w:pPr>
              <w:spacing w:line="480" w:lineRule="exact"/>
              <w:jc w:val="center"/>
              <w:rPr>
                <w:rFonts w:ascii="仿宋" w:hAnsi="仿宋" w:eastAsia="仿宋" w:cs="仿宋"/>
                <w:sz w:val="28"/>
                <w:szCs w:val="28"/>
              </w:rPr>
            </w:pPr>
            <w:r>
              <w:rPr>
                <w:rFonts w:ascii="仿宋" w:hAnsi="仿宋" w:eastAsia="仿宋" w:cs="仿宋"/>
                <w:sz w:val="28"/>
                <w:szCs w:val="28"/>
              </w:rPr>
              <w:t>10974</w:t>
            </w:r>
          </w:p>
        </w:tc>
        <w:tc>
          <w:tcPr>
            <w:tcW w:w="2835" w:type="dxa"/>
            <w:gridSpan w:val="2"/>
            <w:vMerge w:val="continue"/>
            <w:vAlign w:val="center"/>
          </w:tcPr>
          <w:p>
            <w:pPr>
              <w:spacing w:line="480" w:lineRule="exact"/>
              <w:jc w:val="center"/>
              <w:rPr>
                <w:rFonts w:ascii="仿宋" w:hAnsi="仿宋" w:eastAsia="仿宋" w:cs="仿宋"/>
                <w:sz w:val="28"/>
                <w:szCs w:val="28"/>
              </w:rPr>
            </w:pPr>
          </w:p>
        </w:tc>
        <w:tc>
          <w:tcPr>
            <w:tcW w:w="2735" w:type="dxa"/>
            <w:vMerge w:val="continue"/>
            <w:vAlign w:val="center"/>
          </w:tcPr>
          <w:p>
            <w:pPr>
              <w:spacing w:line="480" w:lineRule="exact"/>
              <w:jc w:val="center"/>
              <w:rPr>
                <w:rFonts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地上容积率</w:t>
            </w:r>
          </w:p>
        </w:tc>
        <w:tc>
          <w:tcPr>
            <w:tcW w:w="200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u w:val="single"/>
              </w:rPr>
              <w:t>3.0</w:t>
            </w:r>
          </w:p>
        </w:tc>
        <w:tc>
          <w:tcPr>
            <w:tcW w:w="283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地下容积率</w:t>
            </w:r>
          </w:p>
        </w:tc>
        <w:tc>
          <w:tcPr>
            <w:tcW w:w="273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Merge w:val="restart"/>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计算容积率建筑面积（㎡）</w:t>
            </w:r>
          </w:p>
        </w:tc>
        <w:tc>
          <w:tcPr>
            <w:tcW w:w="2009" w:type="dxa"/>
            <w:vMerge w:val="restart"/>
            <w:vAlign w:val="center"/>
          </w:tcPr>
          <w:p>
            <w:pPr>
              <w:spacing w:line="480" w:lineRule="exact"/>
              <w:jc w:val="center"/>
              <w:rPr>
                <w:rFonts w:ascii="仿宋" w:hAnsi="仿宋" w:eastAsia="仿宋" w:cs="仿宋"/>
                <w:b/>
                <w:bCs/>
                <w:sz w:val="28"/>
                <w:szCs w:val="28"/>
              </w:rPr>
            </w:pPr>
            <w:r>
              <w:rPr>
                <w:rFonts w:hint="eastAsia" w:ascii="仿宋" w:hAnsi="仿宋" w:eastAsia="仿宋" w:cs="仿宋"/>
                <w:sz w:val="28"/>
                <w:szCs w:val="28"/>
              </w:rPr>
              <w:t>≤</w:t>
            </w:r>
            <w:r>
              <w:rPr>
                <w:rFonts w:ascii="仿宋" w:hAnsi="仿宋" w:eastAsia="仿宋" w:cs="仿宋"/>
                <w:sz w:val="28"/>
                <w:szCs w:val="28"/>
                <w:u w:val="single"/>
              </w:rPr>
              <w:t>32922</w:t>
            </w:r>
          </w:p>
        </w:tc>
        <w:tc>
          <w:tcPr>
            <w:tcW w:w="283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地上计算容积率建筑面积（㎡）</w:t>
            </w:r>
          </w:p>
        </w:tc>
        <w:tc>
          <w:tcPr>
            <w:tcW w:w="273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u w:val="single"/>
              </w:rPr>
              <w:t>32922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Merge w:val="continue"/>
            <w:vAlign w:val="center"/>
          </w:tcPr>
          <w:p>
            <w:pPr>
              <w:spacing w:line="480" w:lineRule="exact"/>
              <w:jc w:val="center"/>
              <w:rPr>
                <w:rFonts w:ascii="仿宋" w:hAnsi="仿宋" w:eastAsia="仿宋" w:cs="仿宋"/>
                <w:sz w:val="28"/>
                <w:szCs w:val="28"/>
              </w:rPr>
            </w:pPr>
          </w:p>
        </w:tc>
        <w:tc>
          <w:tcPr>
            <w:tcW w:w="2009" w:type="dxa"/>
            <w:vMerge w:val="continue"/>
            <w:vAlign w:val="center"/>
          </w:tcPr>
          <w:p>
            <w:pPr>
              <w:spacing w:line="480" w:lineRule="exact"/>
              <w:jc w:val="left"/>
              <w:rPr>
                <w:rFonts w:ascii="仿宋" w:hAnsi="仿宋" w:eastAsia="仿宋" w:cs="仿宋"/>
                <w:b/>
                <w:bCs/>
                <w:sz w:val="28"/>
                <w:szCs w:val="28"/>
              </w:rPr>
            </w:pPr>
          </w:p>
        </w:tc>
        <w:tc>
          <w:tcPr>
            <w:tcW w:w="283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地下空间计算容积率建筑面积（㎡）</w:t>
            </w:r>
          </w:p>
        </w:tc>
        <w:tc>
          <w:tcPr>
            <w:tcW w:w="273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建筑密度（%）</w:t>
            </w:r>
          </w:p>
        </w:tc>
        <w:tc>
          <w:tcPr>
            <w:tcW w:w="200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ascii="仿宋" w:hAnsi="仿宋" w:eastAsia="仿宋" w:cs="仿宋"/>
                <w:sz w:val="28"/>
                <w:szCs w:val="28"/>
                <w:u w:val="single"/>
              </w:rPr>
              <w:t>50</w:t>
            </w:r>
          </w:p>
        </w:tc>
        <w:tc>
          <w:tcPr>
            <w:tcW w:w="2835" w:type="dxa"/>
            <w:gridSpan w:val="2"/>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绿地率（%）</w:t>
            </w:r>
          </w:p>
        </w:tc>
        <w:tc>
          <w:tcPr>
            <w:tcW w:w="2735"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u w:val="single"/>
              </w:rPr>
              <w:t>1</w:t>
            </w:r>
            <w:r>
              <w:rPr>
                <w:rFonts w:ascii="仿宋" w:hAnsi="仿宋" w:eastAsia="仿宋" w:cs="仿宋"/>
                <w:sz w:val="28"/>
                <w:szCs w:val="28"/>
                <w:u w:val="single"/>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建筑控高（m）</w:t>
            </w:r>
          </w:p>
        </w:tc>
        <w:tc>
          <w:tcPr>
            <w:tcW w:w="7579" w:type="dxa"/>
            <w:gridSpan w:val="4"/>
            <w:vAlign w:val="center"/>
          </w:tcPr>
          <w:p>
            <w:pPr>
              <w:spacing w:line="480" w:lineRule="exact"/>
              <w:jc w:val="left"/>
              <w:rPr>
                <w:rFonts w:ascii="仿宋" w:hAnsi="仿宋" w:eastAsia="仿宋" w:cs="仿宋"/>
                <w:sz w:val="28"/>
                <w:szCs w:val="28"/>
                <w:u w:val="single"/>
              </w:rPr>
            </w:pPr>
            <w:r>
              <w:rPr>
                <w:rFonts w:hint="eastAsia" w:ascii="仿宋" w:hAnsi="仿宋" w:eastAsia="仿宋" w:cs="仿宋"/>
                <w:b/>
                <w:bCs/>
                <w:sz w:val="28"/>
                <w:szCs w:val="28"/>
              </w:rPr>
              <w:t>一般要求：</w:t>
            </w:r>
            <w:r>
              <w:rPr>
                <w:rFonts w:hint="eastAsia" w:ascii="仿宋" w:hAnsi="仿宋" w:eastAsia="仿宋" w:cs="仿宋"/>
                <w:sz w:val="28"/>
                <w:szCs w:val="28"/>
              </w:rPr>
              <w:t>≤</w:t>
            </w:r>
            <w:r>
              <w:rPr>
                <w:rFonts w:ascii="仿宋" w:hAnsi="仿宋" w:eastAsia="仿宋" w:cs="仿宋"/>
                <w:sz w:val="28"/>
                <w:szCs w:val="28"/>
                <w:u w:val="single"/>
              </w:rPr>
              <w:t>36m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lang w:val="zh-CN"/>
              </w:rPr>
              <w:t>建筑间距</w:t>
            </w:r>
          </w:p>
        </w:tc>
        <w:tc>
          <w:tcPr>
            <w:tcW w:w="7579" w:type="dxa"/>
            <w:gridSpan w:val="4"/>
            <w:vAlign w:val="center"/>
          </w:tcPr>
          <w:p>
            <w:pPr>
              <w:spacing w:line="480" w:lineRule="exact"/>
              <w:jc w:val="left"/>
              <w:rPr>
                <w:rFonts w:ascii="仿宋" w:hAnsi="仿宋" w:eastAsia="仿宋" w:cs="仿宋"/>
                <w:i/>
                <w:iCs/>
                <w:sz w:val="28"/>
                <w:szCs w:val="28"/>
              </w:rPr>
            </w:pPr>
            <w:r>
              <w:rPr>
                <w:rFonts w:hint="eastAsia" w:ascii="仿宋" w:hAnsi="仿宋" w:eastAsia="仿宋" w:cs="仿宋"/>
                <w:sz w:val="28"/>
                <w:szCs w:val="28"/>
              </w:rPr>
              <w:t>按照《广州市城乡规划技术规定》执行，城市设计有特殊规定的按其执行。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rPr>
              <w:t>建筑退让</w:t>
            </w:r>
          </w:p>
        </w:tc>
        <w:tc>
          <w:tcPr>
            <w:tcW w:w="7579" w:type="dxa"/>
            <w:gridSpan w:val="4"/>
            <w:vAlign w:val="center"/>
          </w:tcPr>
          <w:p>
            <w:pPr>
              <w:spacing w:line="480" w:lineRule="exact"/>
              <w:jc w:val="left"/>
              <w:rPr>
                <w:rFonts w:ascii="仿宋" w:hAnsi="仿宋" w:eastAsia="仿宋" w:cs="仿宋"/>
                <w:sz w:val="28"/>
                <w:szCs w:val="28"/>
                <w:u w:val="single"/>
              </w:rPr>
            </w:pPr>
            <w:r>
              <w:rPr>
                <w:rFonts w:hint="eastAsia" w:ascii="仿宋" w:hAnsi="仿宋" w:eastAsia="仿宋" w:cs="仿宋"/>
                <w:sz w:val="28"/>
                <w:szCs w:val="28"/>
              </w:rPr>
              <w:t>按照《广州市城乡规划技术规定》执行，城市设计有特殊规定的按其执行。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059" w:type="dxa"/>
            <w:vAlign w:val="center"/>
          </w:tcPr>
          <w:p>
            <w:pPr>
              <w:spacing w:line="480" w:lineRule="exact"/>
              <w:jc w:val="center"/>
              <w:rPr>
                <w:rFonts w:ascii="仿宋" w:hAnsi="仿宋" w:eastAsia="仿宋" w:cs="仿宋"/>
                <w:sz w:val="28"/>
                <w:szCs w:val="28"/>
              </w:rPr>
            </w:pPr>
            <w:r>
              <w:rPr>
                <w:rFonts w:hint="eastAsia" w:ascii="仿宋" w:hAnsi="仿宋" w:eastAsia="仿宋" w:cs="仿宋"/>
                <w:sz w:val="28"/>
                <w:szCs w:val="28"/>
                <w:lang w:val="zh-CN"/>
              </w:rPr>
              <w:t>停车配建</w:t>
            </w:r>
          </w:p>
        </w:tc>
        <w:tc>
          <w:tcPr>
            <w:tcW w:w="7579" w:type="dxa"/>
            <w:gridSpan w:val="4"/>
            <w:vAlign w:val="center"/>
          </w:tcPr>
          <w:p>
            <w:pPr>
              <w:spacing w:line="480" w:lineRule="exact"/>
              <w:jc w:val="left"/>
              <w:rPr>
                <w:rFonts w:ascii="仿宋" w:hAnsi="仿宋" w:eastAsia="仿宋" w:cs="仿宋"/>
                <w:sz w:val="28"/>
                <w:szCs w:val="28"/>
              </w:rPr>
            </w:pPr>
            <w:r>
              <w:rPr>
                <w:rFonts w:hint="eastAsia" w:ascii="仿宋" w:hAnsi="仿宋" w:eastAsia="仿宋" w:cs="仿宋"/>
                <w:sz w:val="28"/>
                <w:szCs w:val="28"/>
              </w:rPr>
              <w:t>按照《广州市建设项目停车配建指标规定》执行。城市设计有特殊规定的按其规定执行。</w:t>
            </w:r>
          </w:p>
        </w:tc>
      </w:tr>
    </w:tbl>
    <w:p/>
    <w:p/>
    <w:p>
      <w:r>
        <w:br w:type="page"/>
      </w:r>
    </w:p>
    <w:tbl>
      <w:tblPr>
        <w:tblStyle w:val="8"/>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
        <w:gridCol w:w="1701"/>
        <w:gridCol w:w="991"/>
        <w:gridCol w:w="1203"/>
        <w:gridCol w:w="1428"/>
        <w:gridCol w:w="30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236" w:type="dxa"/>
            <w:gridSpan w:val="6"/>
            <w:vAlign w:val="center"/>
          </w:tcPr>
          <w:p>
            <w:pPr>
              <w:keepNext/>
              <w:keepLines/>
              <w:numPr>
                <w:ilvl w:val="0"/>
                <w:numId w:val="2"/>
              </w:numPr>
              <w:spacing w:line="440" w:lineRule="exact"/>
              <w:jc w:val="center"/>
              <w:outlineLvl w:val="1"/>
              <w:rPr>
                <w:rFonts w:ascii="Arial" w:hAnsi="Arial" w:eastAsia="黑体"/>
                <w:b/>
                <w:sz w:val="32"/>
              </w:rPr>
            </w:pPr>
            <w:r>
              <w:rPr>
                <w:rFonts w:hint="eastAsia" w:ascii="Arial" w:hAnsi="Arial" w:eastAsia="黑体"/>
                <w:b/>
                <w:sz w:val="32"/>
              </w:rPr>
              <w:t>公共服务及市政交通设施配套要求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1" w:type="dxa"/>
            <w:vAlign w:val="center"/>
          </w:tcPr>
          <w:p>
            <w:pPr>
              <w:spacing w:line="440" w:lineRule="exact"/>
              <w:jc w:val="center"/>
              <w:rPr>
                <w:rFonts w:ascii="仿宋" w:hAnsi="仿宋" w:eastAsia="仿宋" w:cs="仿宋"/>
                <w:b/>
                <w:bCs/>
                <w:sz w:val="28"/>
                <w:szCs w:val="28"/>
              </w:rPr>
            </w:pPr>
            <w:r>
              <w:rPr>
                <w:rFonts w:hint="eastAsia" w:ascii="仿宋" w:hAnsi="仿宋" w:eastAsia="仿宋" w:cs="仿宋"/>
                <w:b/>
                <w:bCs/>
                <w:sz w:val="28"/>
                <w:szCs w:val="28"/>
              </w:rPr>
              <w:t>序号</w:t>
            </w:r>
          </w:p>
        </w:tc>
        <w:tc>
          <w:tcPr>
            <w:tcW w:w="1701" w:type="dxa"/>
            <w:vAlign w:val="center"/>
          </w:tcPr>
          <w:p>
            <w:pPr>
              <w:spacing w:line="440" w:lineRule="exact"/>
              <w:jc w:val="center"/>
              <w:rPr>
                <w:rFonts w:ascii="Arial" w:hAnsi="Arial" w:eastAsia="黑体"/>
                <w:b/>
                <w:bCs/>
                <w:sz w:val="28"/>
                <w:szCs w:val="28"/>
              </w:rPr>
            </w:pPr>
            <w:r>
              <w:rPr>
                <w:rFonts w:hint="eastAsia" w:ascii="仿宋" w:hAnsi="仿宋" w:eastAsia="仿宋" w:cs="仿宋"/>
                <w:b/>
                <w:bCs/>
                <w:sz w:val="28"/>
                <w:szCs w:val="28"/>
              </w:rPr>
              <w:t>设施名称</w:t>
            </w:r>
          </w:p>
        </w:tc>
        <w:tc>
          <w:tcPr>
            <w:tcW w:w="991" w:type="dxa"/>
            <w:vAlign w:val="center"/>
          </w:tcPr>
          <w:p>
            <w:pPr>
              <w:spacing w:line="440" w:lineRule="exact"/>
              <w:jc w:val="center"/>
              <w:rPr>
                <w:rFonts w:ascii="Arial" w:hAnsi="Arial" w:eastAsia="黑体"/>
                <w:b/>
                <w:bCs/>
                <w:sz w:val="28"/>
                <w:szCs w:val="28"/>
              </w:rPr>
            </w:pPr>
            <w:r>
              <w:rPr>
                <w:rFonts w:hint="eastAsia" w:ascii="仿宋" w:hAnsi="仿宋" w:eastAsia="仿宋" w:cs="仿宋"/>
                <w:b/>
                <w:bCs/>
                <w:sz w:val="28"/>
                <w:szCs w:val="28"/>
              </w:rPr>
              <w:t>数量</w:t>
            </w:r>
          </w:p>
        </w:tc>
        <w:tc>
          <w:tcPr>
            <w:tcW w:w="1203" w:type="dxa"/>
            <w:vAlign w:val="center"/>
          </w:tcPr>
          <w:p>
            <w:pPr>
              <w:spacing w:line="440" w:lineRule="exact"/>
              <w:jc w:val="center"/>
              <w:rPr>
                <w:rFonts w:ascii="Arial" w:hAnsi="Arial" w:eastAsia="黑体"/>
                <w:b/>
                <w:bCs/>
                <w:sz w:val="28"/>
                <w:szCs w:val="28"/>
              </w:rPr>
            </w:pPr>
            <w:r>
              <w:rPr>
                <w:rFonts w:hint="eastAsia" w:ascii="仿宋" w:hAnsi="仿宋" w:eastAsia="仿宋" w:cs="仿宋"/>
                <w:b/>
                <w:bCs/>
                <w:sz w:val="28"/>
                <w:szCs w:val="28"/>
              </w:rPr>
              <w:t>建筑面积（㎡）</w:t>
            </w:r>
          </w:p>
        </w:tc>
        <w:tc>
          <w:tcPr>
            <w:tcW w:w="1428" w:type="dxa"/>
            <w:vAlign w:val="center"/>
          </w:tcPr>
          <w:p>
            <w:pPr>
              <w:spacing w:line="440" w:lineRule="exact"/>
              <w:jc w:val="center"/>
              <w:rPr>
                <w:rFonts w:ascii="Arial" w:hAnsi="Arial" w:eastAsia="黑体"/>
                <w:b/>
                <w:bCs/>
                <w:sz w:val="28"/>
                <w:szCs w:val="28"/>
              </w:rPr>
            </w:pPr>
            <w:r>
              <w:rPr>
                <w:rFonts w:hint="eastAsia" w:ascii="仿宋" w:hAnsi="仿宋" w:eastAsia="仿宋" w:cs="仿宋"/>
                <w:b/>
                <w:bCs/>
                <w:sz w:val="28"/>
                <w:szCs w:val="28"/>
              </w:rPr>
              <w:t>用地面积（㎡）</w:t>
            </w:r>
          </w:p>
        </w:tc>
        <w:tc>
          <w:tcPr>
            <w:tcW w:w="3022" w:type="dxa"/>
            <w:vAlign w:val="center"/>
          </w:tcPr>
          <w:p>
            <w:pPr>
              <w:spacing w:line="440" w:lineRule="exact"/>
              <w:jc w:val="center"/>
              <w:rPr>
                <w:rFonts w:ascii="仿宋" w:hAnsi="仿宋" w:eastAsia="仿宋" w:cs="仿宋"/>
                <w:b/>
                <w:bCs/>
                <w:sz w:val="28"/>
                <w:szCs w:val="28"/>
              </w:rPr>
            </w:pPr>
            <w:r>
              <w:rPr>
                <w:rFonts w:hint="eastAsia" w:ascii="仿宋" w:hAnsi="仿宋" w:eastAsia="仿宋" w:cs="仿宋"/>
                <w:b/>
                <w:bCs/>
                <w:sz w:val="28"/>
                <w:szCs w:val="28"/>
              </w:rPr>
              <w:t>设置要求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1"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1</w:t>
            </w:r>
          </w:p>
        </w:tc>
        <w:tc>
          <w:tcPr>
            <w:tcW w:w="1701"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公共厕所</w:t>
            </w:r>
          </w:p>
        </w:tc>
        <w:tc>
          <w:tcPr>
            <w:tcW w:w="991"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1</w:t>
            </w:r>
          </w:p>
        </w:tc>
        <w:tc>
          <w:tcPr>
            <w:tcW w:w="1203"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1</w:t>
            </w:r>
            <w:r>
              <w:rPr>
                <w:rFonts w:ascii="仿宋" w:hAnsi="仿宋" w:eastAsia="仿宋" w:cs="仿宋"/>
                <w:sz w:val="28"/>
                <w:szCs w:val="28"/>
              </w:rPr>
              <w:t>00</w:t>
            </w:r>
          </w:p>
        </w:tc>
        <w:tc>
          <w:tcPr>
            <w:tcW w:w="1428"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w:t>
            </w:r>
          </w:p>
        </w:tc>
        <w:tc>
          <w:tcPr>
            <w:tcW w:w="3022" w:type="dxa"/>
            <w:vAlign w:val="center"/>
          </w:tcPr>
          <w:p>
            <w:pPr>
              <w:keepNext/>
              <w:keepLines/>
              <w:spacing w:line="440" w:lineRule="exact"/>
              <w:jc w:val="center"/>
              <w:outlineLvl w:val="1"/>
              <w:rPr>
                <w:rFonts w:ascii="仿宋" w:hAnsi="仿宋" w:eastAsia="仿宋" w:cs="仿宋"/>
                <w:sz w:val="28"/>
                <w:szCs w:val="28"/>
              </w:rPr>
            </w:pPr>
            <w:r>
              <w:rPr>
                <w:rFonts w:hint="eastAsia" w:ascii="仿宋" w:hAnsi="仿宋" w:eastAsia="仿宋" w:cs="仿宋"/>
                <w:sz w:val="28"/>
                <w:szCs w:val="28"/>
              </w:rPr>
              <w:t>设于</w:t>
            </w:r>
            <w:r>
              <w:rPr>
                <w:rFonts w:ascii="仿宋" w:hAnsi="仿宋" w:eastAsia="仿宋" w:cs="仿宋"/>
                <w:sz w:val="28"/>
                <w:szCs w:val="28"/>
              </w:rPr>
              <w:t>DC0303032</w:t>
            </w:r>
            <w:r>
              <w:rPr>
                <w:rFonts w:hint="eastAsia" w:ascii="仿宋" w:hAnsi="仿宋" w:eastAsia="仿宋" w:cs="仿宋"/>
                <w:sz w:val="28"/>
                <w:szCs w:val="28"/>
              </w:rPr>
              <w:t>地块，公共厕所宜临宽度大于1</w:t>
            </w:r>
            <w:r>
              <w:rPr>
                <w:rFonts w:ascii="仿宋" w:hAnsi="仿宋" w:eastAsia="仿宋" w:cs="仿宋"/>
                <w:sz w:val="28"/>
                <w:szCs w:val="28"/>
              </w:rPr>
              <w:t>5m</w:t>
            </w:r>
            <w:r>
              <w:rPr>
                <w:rFonts w:hint="eastAsia" w:ascii="仿宋" w:hAnsi="仿宋" w:eastAsia="仿宋" w:cs="仿宋"/>
                <w:sz w:val="28"/>
                <w:szCs w:val="28"/>
              </w:rPr>
              <w:t>的道路，宜设于公共建筑首层。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1"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2</w:t>
            </w:r>
          </w:p>
        </w:tc>
        <w:tc>
          <w:tcPr>
            <w:tcW w:w="1701"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室外宏基站</w:t>
            </w:r>
          </w:p>
        </w:tc>
        <w:tc>
          <w:tcPr>
            <w:tcW w:w="991"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1</w:t>
            </w:r>
          </w:p>
        </w:tc>
        <w:tc>
          <w:tcPr>
            <w:tcW w:w="1203" w:type="dxa"/>
            <w:vAlign w:val="center"/>
          </w:tcPr>
          <w:p>
            <w:pPr>
              <w:spacing w:line="440" w:lineRule="exact"/>
              <w:jc w:val="center"/>
              <w:rPr>
                <w:rFonts w:ascii="仿宋" w:hAnsi="仿宋" w:eastAsia="仿宋" w:cs="仿宋"/>
                <w:sz w:val="28"/>
                <w:szCs w:val="28"/>
              </w:rPr>
            </w:pPr>
            <w:r>
              <w:rPr>
                <w:rFonts w:ascii="仿宋" w:hAnsi="仿宋" w:eastAsia="仿宋" w:cs="仿宋"/>
                <w:sz w:val="28"/>
                <w:szCs w:val="28"/>
              </w:rPr>
              <w:t>20</w:t>
            </w:r>
          </w:p>
        </w:tc>
        <w:tc>
          <w:tcPr>
            <w:tcW w:w="1428"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w:t>
            </w:r>
          </w:p>
        </w:tc>
        <w:tc>
          <w:tcPr>
            <w:tcW w:w="3022" w:type="dxa"/>
            <w:vAlign w:val="center"/>
          </w:tcPr>
          <w:p>
            <w:pPr>
              <w:keepNext/>
              <w:keepLines/>
              <w:spacing w:line="440" w:lineRule="exact"/>
              <w:jc w:val="center"/>
              <w:outlineLvl w:val="1"/>
              <w:rPr>
                <w:rFonts w:ascii="仿宋" w:hAnsi="仿宋" w:eastAsia="仿宋" w:cs="仿宋"/>
                <w:sz w:val="28"/>
                <w:szCs w:val="28"/>
              </w:rPr>
            </w:pPr>
            <w:r>
              <w:rPr>
                <w:rFonts w:hint="eastAsia" w:ascii="仿宋" w:hAnsi="仿宋" w:eastAsia="仿宋" w:cs="仿宋"/>
                <w:sz w:val="28"/>
                <w:szCs w:val="28"/>
              </w:rPr>
              <w:t>设于</w:t>
            </w:r>
            <w:r>
              <w:rPr>
                <w:rFonts w:ascii="仿宋" w:hAnsi="仿宋" w:eastAsia="仿宋" w:cs="仿宋"/>
                <w:sz w:val="28"/>
                <w:szCs w:val="28"/>
              </w:rPr>
              <w:t>DC0303032</w:t>
            </w:r>
            <w:r>
              <w:rPr>
                <w:rFonts w:hint="eastAsia" w:ascii="仿宋" w:hAnsi="仿宋" w:eastAsia="仿宋" w:cs="仿宋"/>
                <w:sz w:val="28"/>
                <w:szCs w:val="28"/>
              </w:rPr>
              <w:t>地块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1"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3</w:t>
            </w:r>
          </w:p>
        </w:tc>
        <w:tc>
          <w:tcPr>
            <w:tcW w:w="1701"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汇聚机房</w:t>
            </w:r>
          </w:p>
        </w:tc>
        <w:tc>
          <w:tcPr>
            <w:tcW w:w="991"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1</w:t>
            </w:r>
          </w:p>
        </w:tc>
        <w:tc>
          <w:tcPr>
            <w:tcW w:w="1203" w:type="dxa"/>
            <w:vAlign w:val="center"/>
          </w:tcPr>
          <w:p>
            <w:pPr>
              <w:spacing w:line="440" w:lineRule="exact"/>
              <w:jc w:val="center"/>
              <w:rPr>
                <w:rFonts w:ascii="仿宋" w:hAnsi="仿宋" w:eastAsia="仿宋" w:cs="仿宋"/>
                <w:sz w:val="28"/>
                <w:szCs w:val="28"/>
              </w:rPr>
            </w:pPr>
            <w:r>
              <w:rPr>
                <w:rFonts w:ascii="仿宋" w:hAnsi="仿宋" w:eastAsia="仿宋" w:cs="仿宋"/>
                <w:sz w:val="28"/>
                <w:szCs w:val="28"/>
              </w:rPr>
              <w:t>200</w:t>
            </w:r>
          </w:p>
        </w:tc>
        <w:tc>
          <w:tcPr>
            <w:tcW w:w="1428"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w:t>
            </w:r>
          </w:p>
        </w:tc>
        <w:tc>
          <w:tcPr>
            <w:tcW w:w="3022" w:type="dxa"/>
            <w:vAlign w:val="center"/>
          </w:tcPr>
          <w:p>
            <w:pPr>
              <w:keepNext/>
              <w:keepLines/>
              <w:spacing w:line="440" w:lineRule="exact"/>
              <w:jc w:val="center"/>
              <w:outlineLvl w:val="1"/>
              <w:rPr>
                <w:rFonts w:ascii="仿宋" w:hAnsi="仿宋" w:eastAsia="仿宋" w:cs="仿宋"/>
                <w:sz w:val="28"/>
                <w:szCs w:val="28"/>
              </w:rPr>
            </w:pPr>
            <w:r>
              <w:rPr>
                <w:rFonts w:hint="eastAsia" w:ascii="仿宋" w:hAnsi="仿宋" w:eastAsia="仿宋" w:cs="仿宋"/>
                <w:sz w:val="28"/>
                <w:szCs w:val="28"/>
              </w:rPr>
              <w:t>设于</w:t>
            </w:r>
            <w:r>
              <w:rPr>
                <w:rFonts w:ascii="仿宋" w:hAnsi="仿宋" w:eastAsia="仿宋" w:cs="仿宋"/>
                <w:sz w:val="28"/>
                <w:szCs w:val="28"/>
              </w:rPr>
              <w:t>DC0303037</w:t>
            </w:r>
            <w:r>
              <w:rPr>
                <w:rFonts w:hint="eastAsia" w:ascii="仿宋" w:hAnsi="仿宋" w:eastAsia="仿宋" w:cs="仿宋"/>
                <w:sz w:val="28"/>
                <w:szCs w:val="28"/>
              </w:rPr>
              <w:t>地块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91"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4</w:t>
            </w:r>
          </w:p>
        </w:tc>
        <w:tc>
          <w:tcPr>
            <w:tcW w:w="1701"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1</w:t>
            </w:r>
            <w:r>
              <w:rPr>
                <w:rFonts w:ascii="仿宋" w:hAnsi="仿宋" w:eastAsia="仿宋" w:cs="仿宋"/>
                <w:sz w:val="28"/>
                <w:szCs w:val="28"/>
              </w:rPr>
              <w:t>0kv</w:t>
            </w:r>
            <w:r>
              <w:rPr>
                <w:rFonts w:hint="eastAsia" w:ascii="仿宋" w:hAnsi="仿宋" w:eastAsia="仿宋" w:cs="仿宋"/>
                <w:sz w:val="28"/>
                <w:szCs w:val="28"/>
              </w:rPr>
              <w:t>开关站</w:t>
            </w:r>
          </w:p>
        </w:tc>
        <w:tc>
          <w:tcPr>
            <w:tcW w:w="991"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1</w:t>
            </w:r>
          </w:p>
        </w:tc>
        <w:tc>
          <w:tcPr>
            <w:tcW w:w="1203" w:type="dxa"/>
            <w:vAlign w:val="center"/>
          </w:tcPr>
          <w:p>
            <w:pPr>
              <w:spacing w:line="440" w:lineRule="exact"/>
              <w:jc w:val="center"/>
              <w:rPr>
                <w:rFonts w:ascii="仿宋" w:hAnsi="仿宋" w:eastAsia="仿宋" w:cs="仿宋"/>
                <w:sz w:val="28"/>
                <w:szCs w:val="28"/>
              </w:rPr>
            </w:pPr>
            <w:r>
              <w:rPr>
                <w:rFonts w:ascii="仿宋" w:hAnsi="仿宋" w:eastAsia="仿宋" w:cs="仿宋"/>
                <w:sz w:val="28"/>
                <w:szCs w:val="28"/>
              </w:rPr>
              <w:t>100</w:t>
            </w:r>
          </w:p>
        </w:tc>
        <w:tc>
          <w:tcPr>
            <w:tcW w:w="1428" w:type="dxa"/>
            <w:vAlign w:val="center"/>
          </w:tcPr>
          <w:p>
            <w:pPr>
              <w:spacing w:line="440" w:lineRule="exact"/>
              <w:jc w:val="center"/>
              <w:rPr>
                <w:rFonts w:ascii="仿宋" w:hAnsi="仿宋" w:eastAsia="仿宋" w:cs="仿宋"/>
                <w:sz w:val="28"/>
                <w:szCs w:val="28"/>
              </w:rPr>
            </w:pPr>
            <w:r>
              <w:rPr>
                <w:rFonts w:hint="eastAsia" w:ascii="仿宋" w:hAnsi="仿宋" w:eastAsia="仿宋" w:cs="仿宋"/>
                <w:sz w:val="28"/>
                <w:szCs w:val="28"/>
              </w:rPr>
              <w:t>-</w:t>
            </w:r>
          </w:p>
        </w:tc>
        <w:tc>
          <w:tcPr>
            <w:tcW w:w="3022" w:type="dxa"/>
            <w:vAlign w:val="center"/>
          </w:tcPr>
          <w:p>
            <w:pPr>
              <w:keepNext/>
              <w:keepLines/>
              <w:spacing w:line="440" w:lineRule="exact"/>
              <w:jc w:val="center"/>
              <w:outlineLvl w:val="1"/>
              <w:rPr>
                <w:rFonts w:ascii="仿宋" w:hAnsi="仿宋" w:eastAsia="仿宋" w:cs="仿宋"/>
                <w:sz w:val="28"/>
                <w:szCs w:val="28"/>
              </w:rPr>
            </w:pPr>
            <w:r>
              <w:rPr>
                <w:rFonts w:hint="eastAsia" w:ascii="仿宋" w:hAnsi="仿宋" w:eastAsia="仿宋" w:cs="仿宋"/>
                <w:sz w:val="28"/>
                <w:szCs w:val="28"/>
              </w:rPr>
              <w:t>设于</w:t>
            </w:r>
            <w:r>
              <w:rPr>
                <w:rFonts w:ascii="仿宋" w:hAnsi="仿宋" w:eastAsia="仿宋" w:cs="仿宋"/>
                <w:sz w:val="28"/>
                <w:szCs w:val="28"/>
              </w:rPr>
              <w:t>DC0303037</w:t>
            </w:r>
            <w:r>
              <w:rPr>
                <w:rFonts w:hint="eastAsia" w:ascii="仿宋" w:hAnsi="仿宋" w:eastAsia="仿宋" w:cs="仿宋"/>
                <w:sz w:val="28"/>
                <w:szCs w:val="28"/>
              </w:rPr>
              <w:t>地块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 w:hRule="atLeast"/>
          <w:jc w:val="center"/>
        </w:trPr>
        <w:tc>
          <w:tcPr>
            <w:tcW w:w="9236" w:type="dxa"/>
            <w:gridSpan w:val="6"/>
            <w:vAlign w:val="center"/>
          </w:tcPr>
          <w:p>
            <w:pPr>
              <w:numPr>
                <w:ilvl w:val="255"/>
                <w:numId w:val="0"/>
              </w:numPr>
              <w:adjustRightInd w:val="0"/>
              <w:spacing w:line="440" w:lineRule="exact"/>
              <w:ind w:firstLine="560" w:firstLineChars="200"/>
              <w:jc w:val="left"/>
              <w:rPr>
                <w:rFonts w:ascii="仿宋_GB2312" w:hAnsi="仿宋" w:eastAsia="仿宋_GB2312" w:cs="仿宋"/>
                <w:sz w:val="28"/>
                <w:szCs w:val="28"/>
              </w:rPr>
            </w:pPr>
            <w:r>
              <w:rPr>
                <w:rFonts w:hint="eastAsia" w:ascii="仿宋_GB2312" w:hAnsi="仿宋" w:eastAsia="仿宋_GB2312" w:cs="仿宋"/>
                <w:sz w:val="28"/>
                <w:szCs w:val="28"/>
              </w:rPr>
              <w:t>1、新建、改建、扩建的住宅小区、办公楼宇、院校及公共场所建筑，应规划设置快递智能末端服务设施。原则上一个项目至少设置一处快递智能末端服务设施，建筑面积≧15平方米（宜每万人一处）。随着服务人口增加，应在小区入口、物业管理处、小区中心位置等多点集中设置智能快件箱。</w:t>
            </w:r>
          </w:p>
        </w:tc>
      </w:tr>
    </w:tbl>
    <w:p>
      <w:r>
        <w:br w:type="page"/>
      </w:r>
    </w:p>
    <w:tbl>
      <w:tblPr>
        <w:tblStyle w:val="8"/>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8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66" w:hRule="atLeast"/>
          <w:jc w:val="center"/>
        </w:trPr>
        <w:tc>
          <w:tcPr>
            <w:tcW w:w="9638" w:type="dxa"/>
            <w:gridSpan w:val="2"/>
            <w:vAlign w:val="center"/>
          </w:tcPr>
          <w:p>
            <w:pPr>
              <w:keepNext/>
              <w:keepLines/>
              <w:numPr>
                <w:ilvl w:val="0"/>
                <w:numId w:val="2"/>
              </w:numPr>
              <w:spacing w:line="480" w:lineRule="exact"/>
              <w:jc w:val="center"/>
              <w:outlineLvl w:val="1"/>
              <w:rPr>
                <w:rFonts w:ascii="Arial" w:hAnsi="Arial" w:eastAsia="黑体"/>
                <w:b/>
                <w:sz w:val="32"/>
              </w:rPr>
            </w:pPr>
            <w:r>
              <w:rPr>
                <w:rFonts w:hint="eastAsia" w:ascii="Arial" w:hAnsi="Arial" w:eastAsia="黑体"/>
                <w:b/>
                <w:sz w:val="32"/>
              </w:rPr>
              <w:t>城市设计要求</w:t>
            </w:r>
          </w:p>
          <w:p>
            <w:pPr>
              <w:adjustRightInd w:val="0"/>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用地未编制城市设计导则，城市设计要求按下列要求执行。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keepNext/>
              <w:keepLines/>
              <w:spacing w:line="480" w:lineRule="exact"/>
              <w:jc w:val="center"/>
              <w:outlineLvl w:val="0"/>
              <w:rPr>
                <w:rFonts w:ascii="仿宋" w:hAnsi="仿宋" w:eastAsia="仿宋" w:cs="仿宋"/>
                <w:b/>
                <w:bCs/>
                <w:kern w:val="44"/>
                <w:sz w:val="28"/>
                <w:szCs w:val="28"/>
                <w:lang w:val="zh-CN"/>
              </w:rPr>
            </w:pPr>
            <w:r>
              <w:rPr>
                <w:rFonts w:hint="eastAsia" w:ascii="仿宋" w:hAnsi="仿宋" w:eastAsia="仿宋" w:cs="仿宋"/>
                <w:b/>
                <w:bCs/>
                <w:kern w:val="44"/>
                <w:sz w:val="28"/>
                <w:szCs w:val="28"/>
              </w:rPr>
              <w:t>场地设计与外环境设计</w:t>
            </w:r>
          </w:p>
        </w:tc>
        <w:tc>
          <w:tcPr>
            <w:tcW w:w="8255" w:type="dxa"/>
            <w:vAlign w:val="center"/>
          </w:tcPr>
          <w:p>
            <w:pPr>
              <w:numPr>
                <w:ilvl w:val="0"/>
                <w:numId w:val="3"/>
              </w:num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考虑方案设计整体性，D</w:t>
            </w:r>
            <w:r>
              <w:rPr>
                <w:rFonts w:ascii="仿宋" w:hAnsi="仿宋" w:eastAsia="仿宋" w:cs="仿宋"/>
                <w:sz w:val="28"/>
                <w:szCs w:val="28"/>
              </w:rPr>
              <w:t>C0303032</w:t>
            </w:r>
            <w:r>
              <w:rPr>
                <w:rFonts w:hint="eastAsia" w:ascii="仿宋" w:hAnsi="仿宋" w:eastAsia="仿宋" w:cs="仿宋"/>
                <w:sz w:val="28"/>
                <w:szCs w:val="28"/>
              </w:rPr>
              <w:t>、D</w:t>
            </w:r>
            <w:r>
              <w:rPr>
                <w:rFonts w:ascii="仿宋" w:hAnsi="仿宋" w:eastAsia="仿宋" w:cs="仿宋"/>
                <w:sz w:val="28"/>
                <w:szCs w:val="28"/>
              </w:rPr>
              <w:t>C0303037</w:t>
            </w:r>
            <w:r>
              <w:rPr>
                <w:rFonts w:hint="eastAsia" w:ascii="仿宋" w:hAnsi="仿宋" w:eastAsia="仿宋" w:cs="仿宋"/>
                <w:sz w:val="28"/>
                <w:szCs w:val="28"/>
              </w:rPr>
              <w:t>、D</w:t>
            </w:r>
            <w:r>
              <w:rPr>
                <w:rFonts w:ascii="仿宋" w:hAnsi="仿宋" w:eastAsia="仿宋" w:cs="仿宋"/>
                <w:sz w:val="28"/>
                <w:szCs w:val="28"/>
              </w:rPr>
              <w:t>C0303038</w:t>
            </w:r>
            <w:r>
              <w:rPr>
                <w:rFonts w:hint="eastAsia" w:ascii="仿宋" w:hAnsi="仿宋" w:eastAsia="仿宋" w:cs="仿宋"/>
                <w:sz w:val="28"/>
                <w:szCs w:val="28"/>
              </w:rPr>
              <w:t>三宗地块可合宗处理，统一报建。</w:t>
            </w:r>
          </w:p>
          <w:p>
            <w:pPr>
              <w:numPr>
                <w:ilvl w:val="0"/>
                <w:numId w:val="3"/>
              </w:num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建筑工程方案审查时，</w:t>
            </w:r>
            <w:r>
              <w:rPr>
                <w:rFonts w:hint="eastAsia" w:ascii="仿宋" w:hAnsi="仿宋" w:eastAsia="仿宋" w:cs="仿宋"/>
                <w:color w:val="000000" w:themeColor="text1"/>
                <w:sz w:val="28"/>
                <w:szCs w:val="28"/>
                <w14:textFill>
                  <w14:solidFill>
                    <w14:schemeClr w14:val="tx1"/>
                  </w14:solidFill>
                </w14:textFill>
              </w:rPr>
              <w:t>应</w:t>
            </w:r>
            <w:r>
              <w:rPr>
                <w:rFonts w:hint="eastAsia" w:ascii="仿宋" w:hAnsi="仿宋" w:eastAsia="仿宋" w:cs="仿宋"/>
                <w:sz w:val="28"/>
                <w:szCs w:val="28"/>
              </w:rPr>
              <w:t>开展场地设计（含首层平面）、道路（渠化）设计、步行系统设计。场地周边的道路控制点竖向标高以控制性详细规划为准，地块1、地块2及地块3场地竖向标高均不低于</w:t>
            </w:r>
            <w:r>
              <w:rPr>
                <w:rFonts w:hint="eastAsia" w:ascii="仿宋" w:hAnsi="仿宋" w:eastAsia="仿宋" w:cs="仿宋"/>
                <w:sz w:val="28"/>
                <w:szCs w:val="28"/>
                <w:u w:val="single"/>
              </w:rPr>
              <w:t xml:space="preserve"> </w:t>
            </w:r>
            <w:r>
              <w:rPr>
                <w:rFonts w:ascii="仿宋" w:hAnsi="仿宋" w:eastAsia="仿宋" w:cs="仿宋"/>
                <w:sz w:val="28"/>
                <w:szCs w:val="28"/>
                <w:u w:val="single"/>
              </w:rPr>
              <w:t>6.7</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米，所有地块须满足防洪及管线设置要求，并与周边道路协调。竖向设计应遵循自然地形，控制建筑室外地坪标高，建筑室外地坪和周边道路人行道应持平或平缓对接。室外地坪标高满足防洪及管线设置要求，与周边道路协调，地块与周边市政用地之间的高差应在本地块内通过绿化护坡相衔接。建筑红线内应与红线外场地设计协调，保证地块红线内外场地一体化。    </w:t>
            </w:r>
          </w:p>
          <w:p>
            <w:pPr>
              <w:numPr>
                <w:ilvl w:val="0"/>
                <w:numId w:val="3"/>
              </w:num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鼓励设置建筑公共开放空间；鼓励商场、办公等公共设施之间增加公共连廊；鼓励住宅、商场、办公等建筑与公共服务设施、市政交通设施、城市公共空间之间增加公共连廊；鼓励建筑物人行入口增设雨蓬；鼓励在地块内设置集中的低势绿地或雨水湿地作为透水区。鼓励设置互连互通的立体公共空间。</w:t>
            </w:r>
          </w:p>
          <w:p>
            <w:pPr>
              <w:numPr>
                <w:ilvl w:val="0"/>
                <w:numId w:val="3"/>
              </w:num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应开展精细无障碍设计、满足安全、舒适的运行要求。场地与建筑的无障碍设计须满足《无障碍设计规范》（GB50763-2012）的相关要求。</w:t>
            </w:r>
          </w:p>
          <w:p>
            <w:pPr>
              <w:numPr>
                <w:ilvl w:val="0"/>
                <w:numId w:val="3"/>
              </w:num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建筑景观照明设施应控制外溢光和杂散光，避免对室内活动干扰，减少环境光污染。</w:t>
            </w:r>
          </w:p>
          <w:p>
            <w:pPr>
              <w:numPr>
                <w:ilvl w:val="0"/>
                <w:numId w:val="3"/>
              </w:num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鼓励在建筑场地内设置公共艺术环境小品；应符合已批准的城市设计关于公共艺术的要求。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keepNext/>
              <w:keepLines/>
              <w:spacing w:line="480" w:lineRule="exact"/>
              <w:jc w:val="center"/>
              <w:outlineLvl w:val="0"/>
              <w:rPr>
                <w:rFonts w:ascii="仿宋" w:hAnsi="仿宋" w:eastAsia="仿宋" w:cs="仿宋"/>
                <w:b/>
                <w:bCs/>
                <w:kern w:val="44"/>
                <w:sz w:val="28"/>
                <w:szCs w:val="28"/>
              </w:rPr>
            </w:pPr>
            <w:r>
              <w:rPr>
                <w:rFonts w:hint="eastAsia" w:ascii="仿宋" w:hAnsi="仿宋" w:eastAsia="仿宋" w:cs="仿宋"/>
                <w:b/>
                <w:bCs/>
                <w:kern w:val="44"/>
                <w:sz w:val="28"/>
                <w:szCs w:val="28"/>
              </w:rPr>
              <w:t>建筑设计</w:t>
            </w:r>
          </w:p>
          <w:p>
            <w:pPr>
              <w:keepNext/>
              <w:keepLines/>
              <w:spacing w:line="480" w:lineRule="exact"/>
              <w:jc w:val="center"/>
              <w:outlineLvl w:val="0"/>
              <w:rPr>
                <w:rFonts w:ascii="仿宋" w:hAnsi="仿宋" w:eastAsia="仿宋" w:cs="仿宋"/>
                <w:b/>
                <w:bCs/>
                <w:kern w:val="44"/>
                <w:sz w:val="28"/>
                <w:szCs w:val="28"/>
                <w:lang w:val="zh-CN"/>
              </w:rPr>
            </w:pPr>
          </w:p>
        </w:tc>
        <w:tc>
          <w:tcPr>
            <w:tcW w:w="8255" w:type="dxa"/>
            <w:vAlign w:val="center"/>
          </w:tcPr>
          <w:p>
            <w:pPr>
              <w:numPr>
                <w:ilvl w:val="0"/>
                <w:numId w:val="3"/>
              </w:numPr>
              <w:spacing w:line="480" w:lineRule="exact"/>
              <w:ind w:firstLine="560" w:firstLineChars="200"/>
              <w:jc w:val="left"/>
              <w:rPr>
                <w:rFonts w:ascii="仿宋" w:hAnsi="仿宋" w:eastAsia="仿宋" w:cs="仿宋"/>
                <w:sz w:val="28"/>
                <w:szCs w:val="28"/>
              </w:rPr>
            </w:pPr>
            <w:r>
              <w:rPr>
                <w:rFonts w:hint="eastAsia" w:ascii="仿宋" w:hAnsi="仿宋" w:eastAsia="仿宋" w:cs="仿宋"/>
                <w:sz w:val="28"/>
                <w:szCs w:val="28"/>
              </w:rPr>
              <w:t>本项目位于总体城市设计划定的“五边四廊四区”城市设计重点地区，应参照其管控要求执行。</w:t>
            </w:r>
          </w:p>
          <w:p>
            <w:pPr>
              <w:keepNext/>
              <w:keepLines/>
              <w:numPr>
                <w:ilvl w:val="0"/>
                <w:numId w:val="3"/>
              </w:numPr>
              <w:spacing w:line="48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建筑设计方案应有利于周边地区环境价值的提升，体现品质化、精细化设计。建筑单体风貌应服从群体风貌要求，与建筑群体风貌协调。多栋建筑组成建筑群时应高低错落。</w:t>
            </w:r>
          </w:p>
          <w:p>
            <w:pPr>
              <w:keepNext/>
              <w:keepLines/>
              <w:numPr>
                <w:ilvl w:val="0"/>
                <w:numId w:val="3"/>
              </w:numPr>
              <w:spacing w:line="48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原则上临湖泊等自然水面、绿地、广场、山体等开敞空间以及文保单位、历史建筑的建筑单体应按前低后高原则控制建筑高度，其中一线建筑高度原则上应少于建筑退让开敞空间和保护建筑的距离，并严格控制建筑物的面宽。</w:t>
            </w:r>
          </w:p>
          <w:p>
            <w:pPr>
              <w:keepNext/>
              <w:keepLines/>
              <w:numPr>
                <w:ilvl w:val="0"/>
                <w:numId w:val="3"/>
              </w:numPr>
              <w:spacing w:line="48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鼓励通过建筑拼接、建筑屋顶一体化设计等方式，形成界面连续、立面风貌、色彩、材质协调的街道界面，打造尺度适宜、富有活力、设计精致、具有人情味的街道。</w:t>
            </w:r>
          </w:p>
          <w:p>
            <w:pPr>
              <w:keepNext/>
              <w:keepLines/>
              <w:numPr>
                <w:ilvl w:val="0"/>
                <w:numId w:val="3"/>
              </w:numPr>
              <w:spacing w:line="48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鼓励通过设置骑楼、底层架空以及通透玻璃等设计手法，适当提高首层临街立面的通透性和视觉连续性，提升行人公共空间体验。</w:t>
            </w:r>
          </w:p>
          <w:p>
            <w:pPr>
              <w:keepNext/>
              <w:keepLines/>
              <w:numPr>
                <w:ilvl w:val="0"/>
                <w:numId w:val="3"/>
              </w:numPr>
              <w:spacing w:line="48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户外广告和招牌不得在建筑屋顶轮廓线以上（含裙楼轮廓线）设置。</w:t>
            </w:r>
          </w:p>
          <w:p>
            <w:pPr>
              <w:keepNext/>
              <w:keepLines/>
              <w:numPr>
                <w:ilvl w:val="0"/>
                <w:numId w:val="3"/>
              </w:numPr>
              <w:spacing w:line="48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建筑立面设计鼓励采用被动节能措施，不宜采用镜面反射玻璃或抛光金属板等材料。住宅、党政机关办公楼、综合医院、中小学校、托儿所、幼儿园、养老院的新建、改建、扩建以及立面改造工程，不得在二层以上部位设置玻璃幕墙。建筑物位于T形路口正对直线路段的外立面不得设置玻璃幕墙。设置玻璃幕墙的，应按照《广州市建筑玻璃幕墙管理办法》执行。</w:t>
            </w:r>
          </w:p>
          <w:p>
            <w:pPr>
              <w:keepNext/>
              <w:keepLines/>
              <w:numPr>
                <w:ilvl w:val="0"/>
                <w:numId w:val="3"/>
              </w:numPr>
              <w:spacing w:line="48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建筑屋顶应统筹考虑消防疏散、屋顶绿化、室外活动、太阳能利用等功能需求，鼓励以苗圃开花植物为主进行屋顶景观设计。住宅屋顶要和建筑立面一体化设计，避免出现屋顶水箱等构筑物突兀、裸露的情况。</w:t>
            </w:r>
          </w:p>
          <w:p>
            <w:pPr>
              <w:keepNext/>
              <w:keepLines/>
              <w:numPr>
                <w:ilvl w:val="0"/>
                <w:numId w:val="3"/>
              </w:numPr>
              <w:spacing w:line="48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鼓励整体化、艺术化的附属设施设计，建筑设备、管道等附属设施与人行道、公共活动场所宜保持一定距离。</w:t>
            </w:r>
          </w:p>
          <w:p>
            <w:pPr>
              <w:keepNext/>
              <w:keepLines/>
              <w:numPr>
                <w:ilvl w:val="0"/>
                <w:numId w:val="3"/>
              </w:numPr>
              <w:spacing w:line="48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设计应遵循循环经济理念，尽可能参照绿色建筑要求应用新技术，采用新型节能环保材料，地块内的建筑都应达到绿色建筑标准。绿色建筑等级标准按《广州市南沙区城建领导小组办公室关于印发南沙区2021年建筑节能、绿色建筑和装配式建筑工作要点的通知》（穗南住建〔2021〕447号）执行。鼓励建筑设计按《智能建筑设计标准（GB/T50314-2006）》的要求，采用BIM技术进行设计。</w:t>
            </w:r>
          </w:p>
          <w:p>
            <w:pPr>
              <w:keepNext/>
              <w:keepLines/>
              <w:numPr>
                <w:ilvl w:val="0"/>
                <w:numId w:val="3"/>
              </w:numPr>
              <w:spacing w:line="48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大型公共建筑的内部交通组织应在地块内部解决。停车场（库）出入口应当设置缓冲区间，缓冲区间和起坡道不得占用规划道路，起坡道尽量在建筑内部设置，闸机不得占用规划道路和建筑退让范围，入口闸机应设置在入口坡道底端。</w:t>
            </w:r>
          </w:p>
          <w:p>
            <w:pPr>
              <w:keepNext/>
              <w:keepLines/>
              <w:numPr>
                <w:ilvl w:val="0"/>
                <w:numId w:val="3"/>
              </w:numPr>
              <w:spacing w:line="48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新建建筑工程项目空调设置、第五立面设计、裙楼户外广告和招牌设置，应按照《广州市规划和自然资源局关于印发&lt;关于加强新建建筑工程空调设置、第五立面设计、裙楼户外广告和招牌设置规划审批管理实施意见&gt;的通知》要求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keepNext/>
              <w:keepLines/>
              <w:spacing w:line="480" w:lineRule="exact"/>
              <w:jc w:val="center"/>
              <w:outlineLvl w:val="0"/>
              <w:rPr>
                <w:rFonts w:ascii="仿宋" w:hAnsi="仿宋" w:eastAsia="仿宋" w:cs="仿宋"/>
                <w:b/>
                <w:bCs/>
                <w:kern w:val="44"/>
                <w:sz w:val="28"/>
                <w:szCs w:val="28"/>
                <w:lang w:val="zh-CN"/>
              </w:rPr>
            </w:pPr>
            <w:r>
              <w:rPr>
                <w:rFonts w:hint="eastAsia" w:ascii="仿宋" w:hAnsi="仿宋" w:eastAsia="仿宋" w:cs="仿宋"/>
                <w:b/>
                <w:bCs/>
                <w:kern w:val="44"/>
                <w:sz w:val="28"/>
                <w:szCs w:val="28"/>
                <w:lang w:val="zh-CN"/>
              </w:rPr>
              <w:t>重点地区</w:t>
            </w:r>
            <w:r>
              <w:rPr>
                <w:rFonts w:hint="eastAsia" w:ascii="仿宋" w:hAnsi="仿宋" w:eastAsia="仿宋" w:cs="仿宋"/>
                <w:b/>
                <w:bCs/>
                <w:kern w:val="44"/>
                <w:sz w:val="28"/>
                <w:szCs w:val="28"/>
              </w:rPr>
              <w:t>及重要建设工程</w:t>
            </w:r>
            <w:r>
              <w:rPr>
                <w:rFonts w:hint="eastAsia" w:ascii="仿宋" w:hAnsi="仿宋" w:eastAsia="仿宋" w:cs="仿宋"/>
                <w:b/>
                <w:bCs/>
                <w:kern w:val="44"/>
                <w:sz w:val="28"/>
                <w:szCs w:val="28"/>
                <w:lang w:val="zh-CN"/>
              </w:rPr>
              <w:t>管控</w:t>
            </w:r>
          </w:p>
        </w:tc>
        <w:tc>
          <w:tcPr>
            <w:tcW w:w="8255" w:type="dxa"/>
            <w:vAlign w:val="center"/>
          </w:tcPr>
          <w:p>
            <w:pPr>
              <w:keepNext/>
              <w:keepLines/>
              <w:numPr>
                <w:ilvl w:val="0"/>
                <w:numId w:val="3"/>
              </w:numPr>
              <w:spacing w:line="480" w:lineRule="exact"/>
              <w:ind w:firstLine="560" w:firstLineChars="200"/>
              <w:jc w:val="left"/>
              <w:outlineLvl w:val="0"/>
              <w:rPr>
                <w:rFonts w:ascii="仿宋" w:hAnsi="仿宋" w:eastAsia="仿宋" w:cs="仿宋"/>
                <w:sz w:val="28"/>
                <w:szCs w:val="28"/>
              </w:rPr>
            </w:pPr>
            <w:r>
              <w:rPr>
                <w:rFonts w:hint="eastAsia" w:ascii="仿宋" w:hAnsi="仿宋" w:eastAsia="仿宋" w:cs="仿宋"/>
                <w:sz w:val="28"/>
                <w:szCs w:val="28"/>
              </w:rPr>
              <w:t>根据《广州市规划和自然资源局南沙分局 广州市南沙区住房和城乡建设局关于加大优秀设计正面引导力度强化城市设计和建筑风貌管理的通知》，在龙穴岛作业区、沙仔岛作业区、明珠湾起步区、南沙枢纽区块、自贸区庆盛枢纽区块、南沙湾地区、蕉门河中心区、万顷沙保税港加工制造业区块、中科院广州明珠科学园、大岗先进制造业区块等重点管控范围内，除工业建筑、村民住宅外的所有建筑工程，鼓励建筑设计方案达到国内外知名设计机构和大师（院士）作品的同等水平。鼓励优先聘请国内外知名设计机构和设计大师（院士）作为设计方参加建筑工程方案设计到验收的全流程并提供承诺书。</w:t>
            </w:r>
          </w:p>
        </w:tc>
      </w:tr>
    </w:tbl>
    <w:p>
      <w:r>
        <w:br w:type="page"/>
      </w:r>
    </w:p>
    <w:tbl>
      <w:tblPr>
        <w:tblStyle w:val="8"/>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4244"/>
        <w:gridCol w:w="1487"/>
        <w:gridCol w:w="2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9638" w:type="dxa"/>
            <w:gridSpan w:val="4"/>
            <w:vAlign w:val="center"/>
          </w:tcPr>
          <w:p>
            <w:pPr>
              <w:keepNext/>
              <w:keepLines/>
              <w:numPr>
                <w:ilvl w:val="0"/>
                <w:numId w:val="2"/>
              </w:numPr>
              <w:spacing w:line="480" w:lineRule="exact"/>
              <w:jc w:val="center"/>
              <w:outlineLvl w:val="1"/>
              <w:rPr>
                <w:rFonts w:ascii="黑体" w:hAnsi="黑体" w:eastAsia="黑体" w:cs="黑体"/>
                <w:b/>
                <w:bCs/>
                <w:sz w:val="28"/>
                <w:szCs w:val="28"/>
                <w:lang w:val="zh-CN"/>
              </w:rPr>
            </w:pPr>
            <w:r>
              <w:rPr>
                <w:rFonts w:hint="eastAsia" w:ascii="Arial" w:hAnsi="Arial" w:eastAsia="黑体"/>
                <w:b/>
                <w:sz w:val="32"/>
                <w:lang w:val="zh-CN"/>
              </w:rPr>
              <w:t>附注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lang w:val="zh-CN"/>
              </w:rPr>
            </w:pPr>
            <w:r>
              <w:rPr>
                <w:rFonts w:hint="eastAsia" w:ascii="仿宋" w:hAnsi="仿宋" w:eastAsia="仿宋" w:cs="仿宋"/>
                <w:b/>
                <w:bCs/>
                <w:sz w:val="28"/>
                <w:szCs w:val="28"/>
              </w:rPr>
              <w:t>文件有效期</w:t>
            </w:r>
          </w:p>
        </w:tc>
        <w:tc>
          <w:tcPr>
            <w:tcW w:w="8255" w:type="dxa"/>
            <w:gridSpan w:val="3"/>
            <w:vAlign w:val="center"/>
          </w:tcPr>
          <w:p>
            <w:pPr>
              <w:keepNext/>
              <w:keepLines/>
              <w:spacing w:line="480" w:lineRule="exact"/>
              <w:ind w:firstLine="560" w:firstLineChars="200"/>
              <w:jc w:val="left"/>
              <w:outlineLvl w:val="0"/>
              <w:rPr>
                <w:rFonts w:ascii="仿宋" w:hAnsi="仿宋" w:eastAsia="仿宋" w:cs="仿宋"/>
                <w:kern w:val="44"/>
                <w:sz w:val="28"/>
                <w:szCs w:val="28"/>
                <w:lang w:val="zh-CN"/>
              </w:rPr>
            </w:pPr>
            <w:r>
              <w:rPr>
                <w:rFonts w:hint="eastAsia" w:ascii="仿宋" w:hAnsi="仿宋" w:eastAsia="仿宋" w:cs="仿宋"/>
                <w:kern w:val="44"/>
                <w:sz w:val="28"/>
                <w:szCs w:val="28"/>
                <w:lang w:val="zh-CN"/>
              </w:rPr>
              <w:t>以</w:t>
            </w:r>
            <w:r>
              <w:rPr>
                <w:rFonts w:hint="eastAsia" w:ascii="仿宋" w:hAnsi="仿宋" w:eastAsia="仿宋" w:cs="仿宋"/>
                <w:kern w:val="44"/>
                <w:sz w:val="28"/>
                <w:szCs w:val="28"/>
              </w:rPr>
              <w:t>出让</w:t>
            </w:r>
            <w:r>
              <w:rPr>
                <w:rFonts w:hint="eastAsia" w:ascii="仿宋" w:hAnsi="仿宋" w:eastAsia="仿宋" w:cs="仿宋"/>
                <w:kern w:val="44"/>
                <w:sz w:val="28"/>
                <w:szCs w:val="28"/>
                <w:lang w:val="zh-CN"/>
              </w:rPr>
              <w:t>方式</w:t>
            </w:r>
            <w:r>
              <w:rPr>
                <w:rFonts w:hint="eastAsia" w:ascii="仿宋" w:hAnsi="仿宋" w:eastAsia="仿宋" w:cs="仿宋"/>
                <w:kern w:val="44"/>
                <w:sz w:val="28"/>
                <w:szCs w:val="28"/>
              </w:rPr>
              <w:t>提供</w:t>
            </w:r>
            <w:r>
              <w:rPr>
                <w:rFonts w:hint="eastAsia" w:ascii="仿宋" w:hAnsi="仿宋" w:eastAsia="仿宋" w:cs="仿宋"/>
                <w:kern w:val="44"/>
                <w:sz w:val="28"/>
                <w:szCs w:val="28"/>
                <w:lang w:val="zh-CN"/>
              </w:rPr>
              <w:t>土地使用权的，</w:t>
            </w:r>
            <w:r>
              <w:rPr>
                <w:rFonts w:hint="eastAsia" w:ascii="仿宋" w:hAnsi="仿宋" w:eastAsia="仿宋" w:cs="仿宋"/>
                <w:kern w:val="44"/>
                <w:sz w:val="28"/>
                <w:szCs w:val="28"/>
              </w:rPr>
              <w:t>取得此规划条件后</w:t>
            </w:r>
            <w:r>
              <w:rPr>
                <w:rFonts w:hint="eastAsia" w:ascii="仿宋" w:hAnsi="仿宋" w:eastAsia="仿宋" w:cs="仿宋"/>
                <w:kern w:val="44"/>
                <w:sz w:val="28"/>
                <w:szCs w:val="28"/>
                <w:lang w:val="zh-CN"/>
              </w:rPr>
              <w:t>两年内未</w:t>
            </w:r>
            <w:r>
              <w:rPr>
                <w:rFonts w:hint="eastAsia" w:ascii="仿宋" w:hAnsi="仿宋" w:eastAsia="仿宋" w:cs="仿宋"/>
                <w:kern w:val="44"/>
                <w:sz w:val="28"/>
                <w:szCs w:val="28"/>
              </w:rPr>
              <w:t>出让土地</w:t>
            </w:r>
            <w:r>
              <w:rPr>
                <w:rFonts w:hint="eastAsia" w:ascii="仿宋" w:hAnsi="仿宋" w:eastAsia="仿宋" w:cs="仿宋"/>
                <w:kern w:val="44"/>
                <w:sz w:val="28"/>
                <w:szCs w:val="28"/>
                <w:lang w:val="zh-CN"/>
              </w:rPr>
              <w:t>的，本规划条件自行失效。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rPr>
            </w:pPr>
            <w:r>
              <w:rPr>
                <w:rFonts w:hint="eastAsia" w:ascii="仿宋" w:hAnsi="仿宋" w:eastAsia="仿宋" w:cs="仿宋"/>
                <w:b/>
                <w:bCs/>
                <w:sz w:val="28"/>
                <w:szCs w:val="28"/>
              </w:rPr>
              <w:t>注释</w:t>
            </w:r>
          </w:p>
        </w:tc>
        <w:tc>
          <w:tcPr>
            <w:tcW w:w="8255" w:type="dxa"/>
            <w:gridSpan w:val="3"/>
            <w:vAlign w:val="center"/>
          </w:tcPr>
          <w:p>
            <w:pPr>
              <w:keepNext/>
              <w:keepLines/>
              <w:spacing w:line="480" w:lineRule="exact"/>
              <w:ind w:firstLine="560" w:firstLineChars="200"/>
              <w:jc w:val="left"/>
              <w:outlineLvl w:val="0"/>
              <w:rPr>
                <w:lang w:val="zh-CN"/>
              </w:rPr>
            </w:pPr>
            <w:r>
              <w:rPr>
                <w:rFonts w:hint="eastAsia" w:ascii="仿宋" w:hAnsi="仿宋" w:eastAsia="仿宋" w:cs="仿宋"/>
                <w:kern w:val="44"/>
                <w:sz w:val="28"/>
                <w:szCs w:val="28"/>
                <w:lang w:val="zh-CN"/>
              </w:rPr>
              <w:t>本规划条件应与建设用地规划红线图共同使用。地块规划（建筑）设计应符合本规划条件、国家现行规划、建筑设计规范和《广州市城乡规划技术规定》要求。凡未尽事宜，按国家和省市有关规定规范执行。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lang w:val="zh-CN"/>
              </w:rPr>
            </w:pPr>
            <w:r>
              <w:rPr>
                <w:rFonts w:hint="eastAsia" w:ascii="仿宋" w:hAnsi="仿宋" w:eastAsia="仿宋" w:cs="仿宋"/>
                <w:b/>
                <w:bCs/>
                <w:sz w:val="28"/>
                <w:szCs w:val="28"/>
              </w:rPr>
              <w:t>附件附图</w:t>
            </w:r>
          </w:p>
        </w:tc>
        <w:tc>
          <w:tcPr>
            <w:tcW w:w="8255" w:type="dxa"/>
            <w:gridSpan w:val="3"/>
            <w:vAlign w:val="center"/>
          </w:tcPr>
          <w:p>
            <w:pPr>
              <w:keepNext/>
              <w:keepLines/>
              <w:spacing w:line="480" w:lineRule="exact"/>
              <w:ind w:firstLine="560" w:firstLineChars="200"/>
              <w:jc w:val="left"/>
              <w:outlineLvl w:val="0"/>
              <w:rPr>
                <w:rFonts w:ascii="仿宋" w:hAnsi="仿宋" w:eastAsia="仿宋" w:cs="仿宋"/>
                <w:kern w:val="44"/>
                <w:sz w:val="28"/>
                <w:szCs w:val="28"/>
                <w:lang w:val="zh-CN"/>
              </w:rPr>
            </w:pPr>
            <w:r>
              <w:rPr>
                <w:rFonts w:hint="eastAsia" w:ascii="仿宋" w:hAnsi="仿宋" w:eastAsia="仿宋" w:cs="仿宋"/>
                <w:kern w:val="44"/>
                <w:sz w:val="28"/>
                <w:szCs w:val="28"/>
                <w:lang w:val="zh-CN"/>
              </w:rPr>
              <w:t>建设用地规划红线图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383" w:type="dxa"/>
            <w:vAlign w:val="center"/>
          </w:tcPr>
          <w:p>
            <w:pPr>
              <w:spacing w:line="480" w:lineRule="exact"/>
              <w:jc w:val="center"/>
              <w:rPr>
                <w:rFonts w:ascii="仿宋" w:hAnsi="仿宋" w:eastAsia="仿宋" w:cs="仿宋"/>
                <w:b/>
                <w:bCs/>
                <w:sz w:val="28"/>
                <w:szCs w:val="28"/>
                <w:lang w:val="zh-CN"/>
              </w:rPr>
            </w:pPr>
            <w:r>
              <w:rPr>
                <w:rFonts w:hint="eastAsia" w:ascii="仿宋" w:hAnsi="仿宋" w:eastAsia="仿宋" w:cs="仿宋"/>
                <w:b/>
                <w:bCs/>
                <w:sz w:val="28"/>
                <w:szCs w:val="28"/>
              </w:rPr>
              <w:t>核发单位</w:t>
            </w:r>
          </w:p>
        </w:tc>
        <w:tc>
          <w:tcPr>
            <w:tcW w:w="4244" w:type="dxa"/>
            <w:vAlign w:val="center"/>
          </w:tcPr>
          <w:p>
            <w:pPr>
              <w:spacing w:line="480" w:lineRule="exact"/>
              <w:jc w:val="center"/>
              <w:rPr>
                <w:rFonts w:ascii="仿宋" w:hAnsi="仿宋" w:eastAsia="仿宋" w:cs="仿宋"/>
                <w:sz w:val="28"/>
                <w:szCs w:val="28"/>
                <w:lang w:val="zh-CN"/>
              </w:rPr>
            </w:pPr>
            <w:r>
              <w:rPr>
                <w:rFonts w:hint="eastAsia" w:ascii="仿宋" w:hAnsi="仿宋" w:eastAsia="仿宋" w:cs="仿宋"/>
                <w:sz w:val="28"/>
                <w:szCs w:val="28"/>
                <w:lang w:val="zh-CN"/>
              </w:rPr>
              <w:t>广州市规划和自然资源局</w:t>
            </w:r>
          </w:p>
          <w:p>
            <w:pPr>
              <w:spacing w:line="480" w:lineRule="exact"/>
              <w:jc w:val="center"/>
              <w:rPr>
                <w:rFonts w:ascii="仿宋" w:hAnsi="仿宋" w:eastAsia="仿宋" w:cs="仿宋"/>
                <w:sz w:val="28"/>
                <w:szCs w:val="28"/>
                <w:lang w:val="zh-CN"/>
              </w:rPr>
            </w:pPr>
            <w:r>
              <w:rPr>
                <w:rFonts w:hint="eastAsia" w:ascii="仿宋" w:hAnsi="仿宋" w:eastAsia="仿宋" w:cs="仿宋"/>
                <w:sz w:val="28"/>
                <w:szCs w:val="28"/>
                <w:lang w:val="zh-CN"/>
              </w:rPr>
              <w:t>南沙区分局（盖章）</w:t>
            </w:r>
          </w:p>
        </w:tc>
        <w:tc>
          <w:tcPr>
            <w:tcW w:w="1487" w:type="dxa"/>
            <w:vAlign w:val="center"/>
          </w:tcPr>
          <w:p>
            <w:pPr>
              <w:spacing w:line="480" w:lineRule="exact"/>
              <w:jc w:val="center"/>
              <w:rPr>
                <w:rFonts w:ascii="仿宋" w:hAnsi="仿宋" w:eastAsia="仿宋" w:cs="仿宋"/>
                <w:sz w:val="28"/>
                <w:szCs w:val="28"/>
                <w:lang w:val="zh-CN"/>
              </w:rPr>
            </w:pPr>
            <w:r>
              <w:rPr>
                <w:rFonts w:hint="eastAsia" w:ascii="仿宋" w:hAnsi="仿宋" w:eastAsia="仿宋" w:cs="仿宋"/>
                <w:sz w:val="28"/>
                <w:szCs w:val="28"/>
                <w:lang w:val="zh-CN"/>
              </w:rPr>
              <w:t>核发时间</w:t>
            </w:r>
          </w:p>
        </w:tc>
        <w:tc>
          <w:tcPr>
            <w:tcW w:w="2524" w:type="dxa"/>
            <w:vAlign w:val="center"/>
          </w:tcPr>
          <w:p>
            <w:pPr>
              <w:spacing w:line="480" w:lineRule="exact"/>
              <w:jc w:val="center"/>
              <w:rPr>
                <w:rFonts w:ascii="仿宋" w:hAnsi="仿宋" w:eastAsia="仿宋" w:cs="仿宋"/>
                <w:sz w:val="28"/>
                <w:szCs w:val="28"/>
                <w:lang w:val="zh-CN"/>
              </w:rPr>
            </w:pPr>
            <w:r>
              <w:rPr>
                <w:rFonts w:hint="eastAsia" w:ascii="仿宋" w:hAnsi="仿宋" w:eastAsia="仿宋" w:cs="仿宋"/>
                <w:sz w:val="28"/>
                <w:szCs w:val="28"/>
              </w:rPr>
              <w:t>20</w:t>
            </w:r>
            <w:r>
              <w:rPr>
                <w:rFonts w:ascii="仿宋" w:hAnsi="仿宋" w:eastAsia="仿宋" w:cs="仿宋"/>
                <w:sz w:val="28"/>
                <w:szCs w:val="28"/>
                <w:u w:val="single"/>
              </w:rPr>
              <w:t>22</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ascii="仿宋" w:hAnsi="仿宋" w:eastAsia="仿宋" w:cs="仿宋"/>
                <w:sz w:val="28"/>
                <w:szCs w:val="28"/>
                <w:u w:val="single"/>
              </w:rPr>
              <w:t>1</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ascii="仿宋" w:hAnsi="仿宋" w:eastAsia="仿宋" w:cs="仿宋"/>
                <w:sz w:val="28"/>
                <w:szCs w:val="28"/>
                <w:u w:val="single"/>
              </w:rPr>
              <w:t>14</w:t>
            </w:r>
            <w:r>
              <w:rPr>
                <w:rFonts w:hint="eastAsia" w:ascii="仿宋" w:hAnsi="仿宋" w:eastAsia="仿宋" w:cs="仿宋"/>
                <w:sz w:val="28"/>
                <w:szCs w:val="28"/>
              </w:rPr>
              <w:t>日</w:t>
            </w:r>
          </w:p>
        </w:tc>
      </w:tr>
    </w:tbl>
    <w:p>
      <w:r>
        <w:br w:type="page"/>
      </w:r>
    </w:p>
    <w:tbl>
      <w:tblPr>
        <w:tblStyle w:val="8"/>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3"/>
        <w:gridCol w:w="82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38" w:type="dxa"/>
            <w:gridSpan w:val="2"/>
            <w:vAlign w:val="center"/>
          </w:tcPr>
          <w:p>
            <w:pPr>
              <w:keepNext/>
              <w:keepLines/>
              <w:spacing w:line="480" w:lineRule="exact"/>
              <w:ind w:firstLine="4160" w:firstLineChars="1300"/>
              <w:outlineLvl w:val="1"/>
              <w:rPr>
                <w:rFonts w:ascii="黑体" w:hAnsi="黑体" w:eastAsia="黑体" w:cs="黑体"/>
                <w:sz w:val="28"/>
                <w:szCs w:val="28"/>
              </w:rPr>
            </w:pPr>
            <w:r>
              <w:rPr>
                <w:rFonts w:hint="eastAsia" w:ascii="Arial" w:hAnsi="Arial" w:eastAsia="黑体"/>
                <w:b/>
                <w:sz w:val="32"/>
              </w:rPr>
              <w:t>其他事项告知栏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rPr>
            </w:pPr>
            <w:r>
              <w:rPr>
                <w:rFonts w:hint="eastAsia" w:ascii="仿宋" w:hAnsi="仿宋" w:eastAsia="仿宋" w:cs="仿宋"/>
                <w:b/>
                <w:bCs/>
                <w:sz w:val="28"/>
                <w:szCs w:val="28"/>
              </w:rPr>
              <w:t>名城保护</w:t>
            </w:r>
          </w:p>
        </w:tc>
        <w:tc>
          <w:tcPr>
            <w:tcW w:w="8255" w:type="dxa"/>
            <w:vAlign w:val="center"/>
          </w:tcPr>
          <w:p>
            <w:pPr>
              <w:keepNext/>
              <w:keepLines/>
              <w:spacing w:line="480" w:lineRule="exact"/>
              <w:ind w:firstLine="560" w:firstLineChars="200"/>
              <w:jc w:val="left"/>
              <w:outlineLvl w:val="0"/>
              <w:rPr>
                <w:rFonts w:ascii="仿宋" w:hAnsi="仿宋" w:eastAsia="仿宋" w:cs="仿宋"/>
                <w:kern w:val="44"/>
                <w:sz w:val="28"/>
                <w:szCs w:val="28"/>
              </w:rPr>
            </w:pPr>
            <w:r>
              <w:rPr>
                <w:rFonts w:hint="eastAsia" w:ascii="仿宋" w:hAnsi="仿宋" w:eastAsia="仿宋" w:cs="仿宋"/>
                <w:kern w:val="44"/>
                <w:sz w:val="28"/>
                <w:szCs w:val="28"/>
                <w:lang w:val="zh-CN"/>
              </w:rPr>
              <w:t>地块位于历史城区、历史文化街区、历史文化名镇、历史文化名村、历史风貌区、传统村落、骑楼街的核心保护范围或者建设控制地带内的，应同步注明保护要求。地块内有历史建筑、传统风貌建筑、不可移动文化遗产保护线索、名木古树的，应</w:t>
            </w:r>
            <w:r>
              <w:rPr>
                <w:rFonts w:hint="eastAsia" w:ascii="仿宋" w:hAnsi="仿宋" w:eastAsia="仿宋" w:cs="仿宋"/>
                <w:kern w:val="44"/>
                <w:sz w:val="28"/>
                <w:szCs w:val="28"/>
              </w:rPr>
              <w:t>符合</w:t>
            </w:r>
            <w:r>
              <w:rPr>
                <w:rFonts w:hint="eastAsia" w:ascii="仿宋" w:hAnsi="仿宋" w:eastAsia="仿宋" w:cs="仿宋"/>
                <w:kern w:val="44"/>
                <w:sz w:val="28"/>
                <w:szCs w:val="28"/>
                <w:lang w:val="zh-CN"/>
              </w:rPr>
              <w:t>保护要求；属于历史城区范围或地块内有工业遗产建筑的，未进行历史文化遗产普查，如涉及地面建筑拆除，应对拟拆旧建筑的历史文化价值进行评估论证并按有关程序报审；如涉及不可移动文物或地下文物埋藏区，或者在地下文物埋藏区以外进行大型工程（占地面积三万平方米以上的建设工程）建设，但尚未进行考古调查、勘探的，应按相关规定依法申请考古调查、勘探报文物管理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城市树木保护</w:t>
            </w:r>
          </w:p>
        </w:tc>
        <w:tc>
          <w:tcPr>
            <w:tcW w:w="8255" w:type="dxa"/>
            <w:vAlign w:val="center"/>
          </w:tcPr>
          <w:p>
            <w:pPr>
              <w:keepNext/>
              <w:keepLines/>
              <w:spacing w:line="480" w:lineRule="exact"/>
              <w:ind w:firstLine="560" w:firstLineChars="200"/>
              <w:jc w:val="left"/>
              <w:outlineLvl w:val="0"/>
              <w:rPr>
                <w:rFonts w:ascii="仿宋_GB2312" w:hAnsi="仿宋_GB2312" w:eastAsia="仿宋_GB2312" w:cs="仿宋_GB2312"/>
                <w:kern w:val="44"/>
                <w:sz w:val="28"/>
                <w:szCs w:val="28"/>
                <w:lang w:val="zh-CN"/>
              </w:rPr>
            </w:pPr>
            <w:r>
              <w:rPr>
                <w:rFonts w:hint="eastAsia" w:ascii="仿宋_GB2312" w:hAnsi="仿宋_GB2312" w:eastAsia="仿宋_GB2312" w:cs="仿宋_GB2312"/>
                <w:kern w:val="44"/>
                <w:sz w:val="28"/>
                <w:szCs w:val="28"/>
                <w:lang w:val="zh-CN"/>
              </w:rPr>
              <w:t>非必要不得开展树木砍伐迁移修剪工作。严格按照《广州市绿化条例》《广州市城市树木保护管理规定（试行）》</w:t>
            </w:r>
            <w:r>
              <w:rPr>
                <w:rFonts w:hint="eastAsia" w:ascii="仿宋_GB2312" w:hAnsi="仿宋_GB2312" w:eastAsia="仿宋_GB2312" w:cs="仿宋_GB2312"/>
                <w:kern w:val="44"/>
                <w:sz w:val="28"/>
                <w:szCs w:val="28"/>
              </w:rPr>
              <w:t>的相关</w:t>
            </w:r>
            <w:r>
              <w:rPr>
                <w:rFonts w:hint="eastAsia" w:ascii="仿宋_GB2312" w:hAnsi="仿宋_GB2312" w:eastAsia="仿宋_GB2312" w:cs="仿宋_GB2312"/>
                <w:kern w:val="44"/>
                <w:sz w:val="28"/>
                <w:szCs w:val="28"/>
                <w:lang w:val="zh-CN"/>
              </w:rPr>
              <w:t>规定</w:t>
            </w:r>
            <w:r>
              <w:rPr>
                <w:rFonts w:hint="eastAsia" w:ascii="仿宋_GB2312" w:hAnsi="仿宋_GB2312" w:eastAsia="仿宋_GB2312" w:cs="仿宋_GB2312"/>
                <w:kern w:val="44"/>
                <w:sz w:val="28"/>
                <w:szCs w:val="28"/>
              </w:rPr>
              <w:t>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rPr>
            </w:pPr>
            <w:r>
              <w:rPr>
                <w:rFonts w:hint="eastAsia" w:ascii="仿宋" w:hAnsi="仿宋" w:eastAsia="仿宋" w:cs="仿宋"/>
                <w:b/>
                <w:bCs/>
                <w:sz w:val="28"/>
                <w:szCs w:val="28"/>
                <w:lang w:val="zh-CN"/>
              </w:rPr>
              <w:t>地质灾害危险性评估</w:t>
            </w:r>
          </w:p>
        </w:tc>
        <w:tc>
          <w:tcPr>
            <w:tcW w:w="8255" w:type="dxa"/>
            <w:vAlign w:val="center"/>
          </w:tcPr>
          <w:p>
            <w:pPr>
              <w:keepNext/>
              <w:keepLines/>
              <w:spacing w:line="480" w:lineRule="exact"/>
              <w:ind w:firstLine="560" w:firstLineChars="200"/>
              <w:jc w:val="left"/>
              <w:outlineLvl w:val="0"/>
              <w:rPr>
                <w:rFonts w:ascii="仿宋" w:hAnsi="仿宋" w:eastAsia="仿宋" w:cs="仿宋"/>
                <w:kern w:val="44"/>
                <w:sz w:val="28"/>
                <w:szCs w:val="28"/>
              </w:rPr>
            </w:pPr>
            <w:r>
              <w:rPr>
                <w:rFonts w:hint="eastAsia" w:ascii="仿宋" w:hAnsi="仿宋" w:eastAsia="仿宋" w:cs="仿宋"/>
                <w:kern w:val="44"/>
                <w:sz w:val="28"/>
                <w:szCs w:val="28"/>
                <w:lang w:val="zh-CN"/>
              </w:rPr>
              <w:t>项目位于地质灾害易发区的，应进行地质灾害危险性评估，并在设计、建设时落实《地质灾害危险性评估报告》提出的预防治理措施，避免项目建设引发地质灾害或者遭受地质灾害威胁。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keepNext/>
              <w:keepLines/>
              <w:spacing w:line="480" w:lineRule="exact"/>
              <w:jc w:val="center"/>
              <w:outlineLvl w:val="0"/>
              <w:rPr>
                <w:rFonts w:ascii="黑体" w:hAnsi="黑体" w:eastAsia="黑体" w:cs="黑体"/>
                <w:b/>
                <w:bCs/>
                <w:kern w:val="44"/>
                <w:sz w:val="28"/>
                <w:szCs w:val="28"/>
              </w:rPr>
            </w:pPr>
            <w:r>
              <w:rPr>
                <w:rFonts w:hint="eastAsia" w:ascii="仿宋" w:hAnsi="仿宋" w:eastAsia="仿宋" w:cs="仿宋"/>
                <w:b/>
                <w:bCs/>
                <w:kern w:val="44"/>
                <w:sz w:val="28"/>
                <w:szCs w:val="28"/>
              </w:rPr>
              <w:t>河涌水系</w:t>
            </w:r>
          </w:p>
        </w:tc>
        <w:tc>
          <w:tcPr>
            <w:tcW w:w="8255" w:type="dxa"/>
            <w:vAlign w:val="center"/>
          </w:tcPr>
          <w:p>
            <w:pPr>
              <w:keepNext/>
              <w:keepLines/>
              <w:spacing w:line="480" w:lineRule="exact"/>
              <w:ind w:firstLine="560" w:firstLineChars="200"/>
              <w:jc w:val="left"/>
              <w:outlineLvl w:val="0"/>
              <w:rPr>
                <w:rFonts w:ascii="仿宋" w:hAnsi="仿宋" w:eastAsia="仿宋" w:cs="仿宋"/>
                <w:kern w:val="44"/>
                <w:sz w:val="28"/>
                <w:szCs w:val="28"/>
              </w:rPr>
            </w:pPr>
            <w:r>
              <w:rPr>
                <w:rFonts w:hint="eastAsia" w:ascii="仿宋" w:hAnsi="仿宋" w:eastAsia="仿宋" w:cs="仿宋"/>
                <w:kern w:val="44"/>
                <w:sz w:val="28"/>
                <w:szCs w:val="28"/>
              </w:rPr>
              <w:t>地块范围涉及河涌及其管理范围，临河建筑物边线应按照要求退让河涌管理范围（水系控制线），不得在该管理范围内布设建、构筑物，不得进行围蔽，涉及河涌管理范围的建设项目应征求水务部门的意见。用地红线涉及水利工程管理范围的，应征询水利行政主管部门的意见。用地红线包括河涌陆域管理范围的，由建设单位统筹实施滨水岸线，完成后无偿移交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rPr>
            </w:pPr>
            <w:r>
              <w:rPr>
                <w:rFonts w:hint="eastAsia" w:ascii="仿宋" w:hAnsi="仿宋" w:eastAsia="仿宋" w:cs="仿宋"/>
                <w:b/>
                <w:bCs/>
                <w:sz w:val="28"/>
                <w:szCs w:val="28"/>
              </w:rPr>
              <w:t>人防工程</w:t>
            </w:r>
          </w:p>
        </w:tc>
        <w:tc>
          <w:tcPr>
            <w:tcW w:w="8255" w:type="dxa"/>
            <w:vAlign w:val="center"/>
          </w:tcPr>
          <w:p>
            <w:pPr>
              <w:spacing w:line="480" w:lineRule="exact"/>
              <w:ind w:firstLine="560" w:firstLineChars="200"/>
              <w:jc w:val="left"/>
              <w:rPr>
                <w:rFonts w:ascii="仿宋" w:hAnsi="仿宋" w:eastAsia="仿宋" w:cs="仿宋"/>
                <w:kern w:val="44"/>
                <w:sz w:val="28"/>
                <w:szCs w:val="28"/>
              </w:rPr>
            </w:pPr>
            <w:r>
              <w:rPr>
                <w:rFonts w:hint="eastAsia" w:ascii="仿宋" w:hAnsi="仿宋" w:eastAsia="仿宋" w:cs="仿宋"/>
                <w:kern w:val="44"/>
                <w:sz w:val="28"/>
                <w:szCs w:val="28"/>
              </w:rPr>
              <w:t>涉及需要配建人防地下室或易地建设人防工程的，应按照《广东省人民政府办公厅转发省人防办 省发展改革委 省财政厅 省自然资源厅 省住房城乡建设厅关于规范城市新建民用建筑修建防空地下室意见的通知》（粤府办〔2020〕27号）落实相关要求；应按照《广州市规划和自然资源局 广州市住房和城乡建设局关于实行建设工程规划许可与人防工程行政许可并联审批的通知》（</w:t>
            </w:r>
            <w:r>
              <w:fldChar w:fldCharType="begin"/>
            </w:r>
            <w:r>
              <w:instrText xml:space="preserve"> HYPERLINK "http://172.30.240.59:8081/official/" \l "/app/document/officeBoxDone//735535/10426245/0//javascript:void(0)" </w:instrText>
            </w:r>
            <w:r>
              <w:fldChar w:fldCharType="separate"/>
            </w:r>
            <w:r>
              <w:rPr>
                <w:rFonts w:hint="eastAsia" w:ascii="仿宋" w:hAnsi="仿宋" w:eastAsia="仿宋" w:cs="仿宋"/>
                <w:kern w:val="44"/>
                <w:sz w:val="28"/>
                <w:szCs w:val="28"/>
                <w:shd w:val="clear" w:color="auto" w:fill="FFFFFF"/>
              </w:rPr>
              <w:t>穗规划资源字〔2019〕162号</w:t>
            </w:r>
            <w:r>
              <w:rPr>
                <w:rFonts w:hint="eastAsia" w:ascii="仿宋" w:hAnsi="仿宋" w:eastAsia="仿宋" w:cs="仿宋"/>
                <w:kern w:val="44"/>
                <w:sz w:val="28"/>
                <w:szCs w:val="28"/>
                <w:shd w:val="clear" w:color="auto" w:fill="FFFFFF"/>
              </w:rPr>
              <w:fldChar w:fldCharType="end"/>
            </w:r>
            <w:r>
              <w:rPr>
                <w:rFonts w:hint="eastAsia" w:ascii="仿宋" w:hAnsi="仿宋" w:eastAsia="仿宋" w:cs="仿宋"/>
                <w:kern w:val="44"/>
                <w:sz w:val="28"/>
                <w:szCs w:val="28"/>
              </w:rPr>
              <w:t>）办理。如无法并联办理的，应在建筑报审前，应取得人防部门的书面审核意见。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rPr>
            </w:pPr>
            <w:r>
              <w:rPr>
                <w:rFonts w:hint="eastAsia" w:ascii="仿宋" w:hAnsi="仿宋" w:eastAsia="仿宋" w:cs="仿宋"/>
                <w:b/>
                <w:bCs/>
                <w:sz w:val="28"/>
                <w:szCs w:val="28"/>
              </w:rPr>
              <w:t>停车配建</w:t>
            </w:r>
          </w:p>
        </w:tc>
        <w:tc>
          <w:tcPr>
            <w:tcW w:w="8255" w:type="dxa"/>
            <w:vAlign w:val="center"/>
          </w:tcPr>
          <w:p>
            <w:pPr>
              <w:spacing w:line="480" w:lineRule="exact"/>
              <w:ind w:firstLine="560" w:firstLineChars="200"/>
              <w:jc w:val="left"/>
              <w:rPr>
                <w:rFonts w:ascii="仿宋" w:hAnsi="仿宋" w:eastAsia="仿宋" w:cs="仿宋"/>
                <w:kern w:val="44"/>
                <w:sz w:val="28"/>
                <w:szCs w:val="28"/>
              </w:rPr>
            </w:pPr>
            <w:r>
              <w:rPr>
                <w:rFonts w:hint="eastAsia" w:ascii="仿宋" w:hAnsi="仿宋" w:eastAsia="仿宋" w:cs="仿宋"/>
                <w:kern w:val="44"/>
                <w:sz w:val="28"/>
                <w:szCs w:val="28"/>
              </w:rPr>
              <w:t>机动车出入口结合现状及规划情况合理设置。机动车和非机动车停放场（库）应与主体工程同时设计、同时施工、同时投入使用。可在建筑地面以上非首层位置设置停车库，该部分建筑面积不计容积率。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rPr>
            </w:pPr>
            <w:r>
              <w:rPr>
                <w:rFonts w:hint="eastAsia" w:ascii="仿宋" w:hAnsi="仿宋" w:eastAsia="仿宋" w:cs="仿宋"/>
                <w:b/>
                <w:bCs/>
                <w:sz w:val="28"/>
                <w:szCs w:val="28"/>
              </w:rPr>
              <w:t>地下空间</w:t>
            </w:r>
          </w:p>
        </w:tc>
        <w:tc>
          <w:tcPr>
            <w:tcW w:w="8255" w:type="dxa"/>
            <w:vAlign w:val="center"/>
          </w:tcPr>
          <w:p>
            <w:pPr>
              <w:spacing w:line="480" w:lineRule="exact"/>
              <w:jc w:val="left"/>
              <w:rPr>
                <w:rFonts w:ascii="仿宋" w:hAnsi="仿宋" w:eastAsia="仿宋" w:cs="仿宋"/>
                <w:kern w:val="44"/>
                <w:sz w:val="28"/>
                <w:szCs w:val="28"/>
                <w:u w:val="single"/>
              </w:rPr>
            </w:pPr>
            <w:r>
              <w:rPr>
                <w:rFonts w:hint="eastAsia" w:ascii="仿宋" w:hAnsi="仿宋" w:eastAsia="仿宋" w:cs="仿宋"/>
                <w:kern w:val="44"/>
                <w:sz w:val="28"/>
                <w:szCs w:val="28"/>
              </w:rPr>
              <w:t xml:space="preserve">   在满足地下管线敷设要求的前提下，鼓励规划红线宽度15米及以下市政道路两侧地块内的建筑物地下空间互联互通，并与市政道路同步设计、同步施工、同步投入使用。停车配建泊位数可在地下连通的各地块间统筹。地块临近轨道交通站点的，鼓励建设与轨道交通站点连接的地下通道。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rPr>
            </w:pPr>
            <w:r>
              <w:rPr>
                <w:rFonts w:hint="eastAsia" w:ascii="仿宋" w:hAnsi="仿宋" w:eastAsia="仿宋" w:cs="仿宋"/>
                <w:b/>
                <w:bCs/>
                <w:sz w:val="28"/>
                <w:szCs w:val="28"/>
              </w:rPr>
              <w:t>充电设施</w:t>
            </w:r>
          </w:p>
        </w:tc>
        <w:tc>
          <w:tcPr>
            <w:tcW w:w="8255" w:type="dxa"/>
            <w:vAlign w:val="center"/>
          </w:tcPr>
          <w:p>
            <w:pPr>
              <w:spacing w:line="480" w:lineRule="exact"/>
              <w:ind w:firstLine="560" w:firstLineChars="200"/>
            </w:pPr>
            <w:r>
              <w:rPr>
                <w:rFonts w:hint="eastAsia" w:ascii="仿宋" w:hAnsi="仿宋" w:eastAsia="仿宋" w:cs="仿宋"/>
                <w:kern w:val="44"/>
                <w:sz w:val="28"/>
                <w:szCs w:val="28"/>
                <w:lang w:val="zh-CN"/>
              </w:rPr>
              <w:t>新建住宅小区配建停车位必须100%建设充电设施或预留建设安装条件；新建的商业服务业建筑、旅游景区、交通枢纽、公共停车场等场所，按不低于停车位总数30%比例建设快速充电桩。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rPr>
            </w:pPr>
            <w:r>
              <w:rPr>
                <w:rFonts w:hint="eastAsia" w:ascii="仿宋" w:hAnsi="仿宋" w:eastAsia="仿宋" w:cs="仿宋"/>
                <w:b/>
                <w:bCs/>
                <w:kern w:val="44"/>
                <w:sz w:val="28"/>
                <w:szCs w:val="28"/>
                <w:lang w:val="zh-CN"/>
              </w:rPr>
              <w:t>配电房设置要求</w:t>
            </w:r>
          </w:p>
        </w:tc>
        <w:tc>
          <w:tcPr>
            <w:tcW w:w="8255" w:type="dxa"/>
            <w:vAlign w:val="center"/>
          </w:tcPr>
          <w:p>
            <w:pPr>
              <w:spacing w:line="480" w:lineRule="exact"/>
              <w:ind w:firstLine="560" w:firstLineChars="200"/>
              <w:jc w:val="left"/>
              <w:rPr>
                <w:rFonts w:ascii="仿宋" w:hAnsi="仿宋" w:eastAsia="仿宋" w:cs="仿宋"/>
                <w:kern w:val="44"/>
                <w:sz w:val="28"/>
                <w:szCs w:val="28"/>
              </w:rPr>
            </w:pPr>
            <w:r>
              <w:rPr>
                <w:rFonts w:hint="eastAsia" w:ascii="仿宋" w:hAnsi="仿宋" w:eastAsia="仿宋" w:cs="仿宋"/>
                <w:kern w:val="44"/>
                <w:sz w:val="28"/>
                <w:szCs w:val="28"/>
              </w:rPr>
              <w:t>配电房设置按照广州市供电局《关于报送广州市配电房设置要求的函》“公用配电房及供住宅电梯、住宅水泵、住宅梯灯等居住性质用电的专用配电房必须设置在建筑物首层以上；专用配电房应设置在建筑物首层及以上，当条件限制且有地下室多层时，应设置在地下负一层（不含易涝地区），不得设置在仅有地下一层的地下室”要求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kern w:val="44"/>
                <w:sz w:val="28"/>
                <w:szCs w:val="28"/>
                <w:lang w:val="zh-CN"/>
              </w:rPr>
            </w:pPr>
            <w:r>
              <w:rPr>
                <w:rFonts w:hint="eastAsia" w:ascii="仿宋" w:hAnsi="仿宋" w:eastAsia="仿宋" w:cs="仿宋"/>
                <w:b/>
                <w:bCs/>
                <w:kern w:val="44"/>
                <w:sz w:val="28"/>
                <w:szCs w:val="28"/>
              </w:rPr>
              <w:t>移动通信基础设施</w:t>
            </w:r>
          </w:p>
        </w:tc>
        <w:tc>
          <w:tcPr>
            <w:tcW w:w="8255" w:type="dxa"/>
            <w:vAlign w:val="center"/>
          </w:tcPr>
          <w:p>
            <w:pPr>
              <w:numPr>
                <w:ilvl w:val="255"/>
                <w:numId w:val="0"/>
              </w:numPr>
              <w:adjustRightInd w:val="0"/>
              <w:spacing w:line="480" w:lineRule="exact"/>
              <w:ind w:firstLine="560" w:firstLineChars="200"/>
              <w:jc w:val="left"/>
              <w:rPr>
                <w:rFonts w:ascii="仿宋" w:hAnsi="仿宋" w:eastAsia="仿宋" w:cs="仿宋"/>
                <w:kern w:val="44"/>
                <w:sz w:val="28"/>
                <w:szCs w:val="28"/>
              </w:rPr>
            </w:pPr>
            <w:r>
              <w:rPr>
                <w:rFonts w:hint="eastAsia" w:ascii="仿宋" w:hAnsi="仿宋" w:eastAsia="仿宋" w:cs="仿宋"/>
                <w:kern w:val="44"/>
                <w:sz w:val="28"/>
                <w:szCs w:val="28"/>
              </w:rPr>
              <w:t>根据《广东省通信设施建设与保护规定》和《广州市公众移动通信5G基站站址布局专项规划（2019-2023年）》，地块内应当预留移动通信设施的建设空间、建设位置、用电容量及其配套资源。移动通信设施（宏基站、微基站及室内覆盖系统）所需的机房、供电线路、通信管线、室外支撑物等配套设施应按《广东省建筑物移动通信基础设施技术规范》（DBJ/T 15-190-2020）的相关规定配置。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lang w:val="zh-CN"/>
              </w:rPr>
            </w:pPr>
            <w:r>
              <w:rPr>
                <w:rFonts w:hint="eastAsia" w:ascii="仿宋" w:hAnsi="仿宋" w:eastAsia="仿宋" w:cs="仿宋"/>
                <w:b/>
                <w:bCs/>
                <w:sz w:val="28"/>
                <w:szCs w:val="28"/>
                <w:lang w:val="zh-CN"/>
              </w:rPr>
              <w:t>海绵城市</w:t>
            </w:r>
          </w:p>
          <w:p>
            <w:pPr>
              <w:spacing w:line="480" w:lineRule="exact"/>
              <w:jc w:val="center"/>
              <w:rPr>
                <w:rFonts w:ascii="仿宋" w:hAnsi="仿宋" w:eastAsia="仿宋" w:cs="仿宋"/>
                <w:b/>
                <w:bCs/>
                <w:sz w:val="28"/>
                <w:szCs w:val="28"/>
              </w:rPr>
            </w:pPr>
          </w:p>
          <w:p>
            <w:pPr>
              <w:spacing w:line="480" w:lineRule="exact"/>
              <w:jc w:val="center"/>
              <w:rPr>
                <w:rFonts w:ascii="仿宋_GB2312" w:hAnsi="仿宋_GB2312" w:eastAsia="仿宋_GB2312" w:cs="仿宋_GB2312"/>
                <w:b/>
                <w:bCs/>
                <w:sz w:val="28"/>
                <w:szCs w:val="28"/>
              </w:rPr>
            </w:pPr>
          </w:p>
          <w:p>
            <w:pPr>
              <w:spacing w:line="480" w:lineRule="exact"/>
              <w:jc w:val="center"/>
              <w:rPr>
                <w:rFonts w:ascii="仿宋" w:hAnsi="仿宋" w:eastAsia="仿宋" w:cs="仿宋"/>
                <w:b/>
                <w:bCs/>
                <w:sz w:val="28"/>
                <w:szCs w:val="28"/>
              </w:rPr>
            </w:pPr>
          </w:p>
        </w:tc>
        <w:tc>
          <w:tcPr>
            <w:tcW w:w="8255" w:type="dxa"/>
            <w:vAlign w:val="center"/>
          </w:tcPr>
          <w:p>
            <w:pPr>
              <w:keepNext/>
              <w:keepLines/>
              <w:spacing w:line="480" w:lineRule="exact"/>
              <w:ind w:firstLine="560" w:firstLineChars="200"/>
              <w:jc w:val="left"/>
              <w:outlineLvl w:val="0"/>
              <w:rPr>
                <w:rFonts w:ascii="仿宋" w:hAnsi="仿宋" w:eastAsia="仿宋" w:cs="仿宋"/>
                <w:kern w:val="44"/>
                <w:sz w:val="28"/>
                <w:szCs w:val="28"/>
                <w:lang w:val="zh-CN"/>
              </w:rPr>
            </w:pPr>
            <w:r>
              <w:rPr>
                <w:rFonts w:hint="eastAsia" w:ascii="仿宋" w:hAnsi="仿宋" w:eastAsia="仿宋" w:cs="仿宋"/>
                <w:kern w:val="44"/>
                <w:sz w:val="28"/>
                <w:szCs w:val="28"/>
                <w:lang w:val="zh-CN"/>
              </w:rPr>
              <w:t>建设项目应采用雨污分流系统，按照《广州市排水管理办法实施细则》（穗水规字〔2018〕5号）要求，同步建设雨污管网，阳台排水应接入污水管，并按要求设置化粪池，同时按照《广州市建设项目雨水径流控制办法》的有关规定采取雨水径流控制措施，使建设后的雨水径流量不超过建设前的雨水径流量。</w:t>
            </w:r>
          </w:p>
          <w:p>
            <w:pPr>
              <w:keepNext/>
              <w:keepLines/>
              <w:spacing w:line="480" w:lineRule="exact"/>
              <w:ind w:firstLine="560" w:firstLineChars="200"/>
              <w:jc w:val="left"/>
              <w:outlineLvl w:val="0"/>
              <w:rPr>
                <w:rFonts w:ascii="仿宋" w:hAnsi="仿宋" w:eastAsia="仿宋" w:cs="仿宋"/>
                <w:kern w:val="44"/>
                <w:sz w:val="28"/>
                <w:szCs w:val="28"/>
              </w:rPr>
            </w:pPr>
            <w:r>
              <w:rPr>
                <w:rFonts w:hint="eastAsia" w:ascii="仿宋" w:hAnsi="仿宋" w:eastAsia="仿宋" w:cs="仿宋"/>
                <w:kern w:val="44"/>
                <w:sz w:val="28"/>
                <w:szCs w:val="28"/>
              </w:rPr>
              <w:t>M类工业用地应按以下要求落实海绵城市建设要求：年径流总量控制率推荐取值65%-75%；新建建筑宜采用绿色屋顶，绿色屋顶率宜≥60%（鼓励性指标），并宜与绿地、水体的建设相结合建设雨水收集、蓄存和利用设施；建筑物的室外可渗透地面率不低于40%（约束性指标）；新建项目人行道、室外停车场、步行街、自行车道和建设工程的外部庭院应当分别设置渗透性铺装设施，其渗透铺装率不低于70%（约束性指标）；新建建设工程硬化面积达 1 万平方米以上的项目，除城镇公共道路外，每万平方米硬化面积应当配建不小于500立方米的雨水调蓄设施；除上述指标外，具体施工图设计还应满足《广州市建设项目雨水径流控制办法》、《广州市海绵城市规划设计导则》、《广州市海绵城市建设技术指引及标准图集（试行）》、《广州市海绵城市建设技术指标体系（试行）》等规定的要求。</w:t>
            </w:r>
          </w:p>
          <w:p>
            <w:pPr>
              <w:keepNext/>
              <w:keepLines/>
              <w:spacing w:line="480" w:lineRule="exact"/>
              <w:ind w:firstLine="560" w:firstLineChars="200"/>
              <w:jc w:val="left"/>
              <w:outlineLvl w:val="0"/>
              <w:rPr>
                <w:rFonts w:ascii="仿宋" w:hAnsi="仿宋" w:eastAsia="仿宋" w:cs="仿宋"/>
                <w:kern w:val="44"/>
                <w:sz w:val="28"/>
                <w:szCs w:val="28"/>
              </w:rPr>
            </w:pPr>
            <w:r>
              <w:rPr>
                <w:rFonts w:hint="eastAsia" w:ascii="仿宋" w:hAnsi="仿宋" w:eastAsia="仿宋" w:cs="仿宋"/>
                <w:kern w:val="44"/>
                <w:sz w:val="28"/>
                <w:szCs w:val="28"/>
                <w:lang w:val="zh-CN"/>
              </w:rPr>
              <w:t>在建设工程施工图审查、 施工许可等环节，海绵城市相关工程措施将作为重点审查内容；工程竣工验收报告中， 应当写明海绵城市相关工程措施的落实情况，提交审批机关备案。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rPr>
            </w:pPr>
            <w:r>
              <w:rPr>
                <w:rFonts w:hint="eastAsia" w:ascii="仿宋" w:hAnsi="仿宋" w:eastAsia="仿宋" w:cs="仿宋"/>
                <w:b/>
                <w:bCs/>
                <w:sz w:val="28"/>
                <w:szCs w:val="28"/>
              </w:rPr>
              <w:t>给排水设施要求</w:t>
            </w:r>
          </w:p>
        </w:tc>
        <w:tc>
          <w:tcPr>
            <w:tcW w:w="8255" w:type="dxa"/>
            <w:vAlign w:val="center"/>
          </w:tcPr>
          <w:p>
            <w:pPr>
              <w:keepNext/>
              <w:keepLines/>
              <w:spacing w:line="480" w:lineRule="exact"/>
              <w:ind w:firstLine="560" w:firstLineChars="200"/>
              <w:jc w:val="left"/>
              <w:outlineLvl w:val="0"/>
              <w:rPr>
                <w:rFonts w:ascii="仿宋" w:hAnsi="仿宋" w:eastAsia="仿宋" w:cs="仿宋"/>
                <w:kern w:val="44"/>
                <w:sz w:val="28"/>
                <w:szCs w:val="28"/>
              </w:rPr>
            </w:pPr>
            <w:r>
              <w:rPr>
                <w:rFonts w:hint="eastAsia" w:ascii="仿宋" w:hAnsi="仿宋" w:eastAsia="仿宋" w:cs="仿宋"/>
                <w:kern w:val="44"/>
                <w:sz w:val="28"/>
                <w:szCs w:val="28"/>
              </w:rPr>
              <w:t>项目应采取措施保护周边已建的供、排水设施。如需移动或改建供、排水设施，应征求权属单位意见，并向设施养护管理单位申请审核。</w:t>
            </w:r>
          </w:p>
          <w:p>
            <w:pPr>
              <w:keepNext/>
              <w:keepLines/>
              <w:spacing w:line="480" w:lineRule="exact"/>
              <w:ind w:firstLine="560" w:firstLineChars="200"/>
              <w:jc w:val="left"/>
              <w:outlineLvl w:val="0"/>
              <w:rPr>
                <w:rFonts w:ascii="仿宋" w:hAnsi="仿宋" w:eastAsia="仿宋" w:cs="仿宋"/>
                <w:kern w:val="44"/>
                <w:sz w:val="28"/>
                <w:szCs w:val="28"/>
              </w:rPr>
            </w:pPr>
            <w:r>
              <w:rPr>
                <w:rFonts w:hint="eastAsia" w:ascii="仿宋" w:hAnsi="仿宋" w:eastAsia="仿宋" w:cs="仿宋"/>
                <w:kern w:val="44"/>
                <w:sz w:val="28"/>
                <w:szCs w:val="28"/>
              </w:rPr>
              <w:t>市政交水点水压标准为0.14MPa,项目应按照《用户生活给水系统设计、施工及验收规范》设计、配建储水池和加压设备等供水设施，应满足广州市推行优质饮用水的要求。住宅项目配建的供水设施技术设计方案应征求所在区域供水单位的意见。有关道路建设应预留供水管线位置，配建市政消火栓。</w:t>
            </w:r>
          </w:p>
          <w:p>
            <w:pPr>
              <w:keepNext/>
              <w:keepLines/>
              <w:spacing w:line="480" w:lineRule="exact"/>
              <w:ind w:firstLine="560" w:firstLineChars="200"/>
              <w:jc w:val="left"/>
              <w:outlineLvl w:val="0"/>
              <w:rPr>
                <w:rFonts w:ascii="仿宋" w:hAnsi="仿宋" w:eastAsia="仿宋" w:cs="仿宋"/>
                <w:kern w:val="44"/>
                <w:sz w:val="28"/>
                <w:szCs w:val="28"/>
              </w:rPr>
            </w:pPr>
            <w:r>
              <w:rPr>
                <w:rFonts w:hint="eastAsia" w:ascii="仿宋" w:hAnsi="仿宋" w:eastAsia="仿宋" w:cs="仿宋"/>
                <w:kern w:val="44"/>
                <w:sz w:val="28"/>
                <w:szCs w:val="28"/>
              </w:rPr>
              <w:t>项目应按照《广州市建设项目节水设施“三同时”管理暂行办法》配套建设节水设施。节水设施应与主体工程同时设计、同时施工、同时投入使用。</w:t>
            </w:r>
          </w:p>
          <w:p>
            <w:pPr>
              <w:keepNext/>
              <w:keepLines/>
              <w:spacing w:line="480" w:lineRule="exact"/>
              <w:ind w:firstLine="560" w:firstLineChars="200"/>
              <w:jc w:val="left"/>
              <w:outlineLvl w:val="0"/>
              <w:rPr>
                <w:rFonts w:ascii="仿宋" w:hAnsi="仿宋" w:eastAsia="仿宋" w:cs="仿宋"/>
                <w:kern w:val="44"/>
                <w:sz w:val="28"/>
                <w:szCs w:val="28"/>
                <w:lang w:val="zh-CN"/>
              </w:rPr>
            </w:pPr>
            <w:r>
              <w:rPr>
                <w:rFonts w:hint="eastAsia" w:ascii="仿宋" w:hAnsi="仿宋" w:eastAsia="仿宋" w:cs="仿宋"/>
                <w:kern w:val="44"/>
                <w:sz w:val="28"/>
                <w:szCs w:val="28"/>
              </w:rPr>
              <w:t>排水设施材质应符合《广州市河长制办公室关于提高新建污水管网管材标准，打好水污染防治攻坚战的通知》、《广州市水务局关于推广使用预制装配式排水检查井及限制使用砖砌筑排水检查井的通知》要求。生活储水池、外露给水管道建议使用不锈钢材质，分户水表建议采用智能水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树木砍伐迁移修剪</w:t>
            </w:r>
          </w:p>
        </w:tc>
        <w:tc>
          <w:tcPr>
            <w:tcW w:w="8255" w:type="dxa"/>
            <w:vAlign w:val="center"/>
          </w:tcPr>
          <w:p>
            <w:pPr>
              <w:keepNext/>
              <w:keepLines/>
              <w:spacing w:line="480" w:lineRule="exact"/>
              <w:ind w:firstLine="560" w:firstLineChars="200"/>
              <w:jc w:val="left"/>
              <w:outlineLvl w:val="0"/>
              <w:rPr>
                <w:rFonts w:ascii="仿宋_GB2312" w:hAnsi="仿宋_GB2312" w:eastAsia="仿宋_GB2312" w:cs="仿宋_GB2312"/>
                <w:kern w:val="44"/>
                <w:sz w:val="28"/>
                <w:szCs w:val="28"/>
                <w:lang w:val="zh-CN"/>
              </w:rPr>
            </w:pPr>
            <w:r>
              <w:rPr>
                <w:rFonts w:hint="eastAsia" w:ascii="仿宋" w:hAnsi="仿宋" w:eastAsia="仿宋" w:cs="仿宋"/>
                <w:kern w:val="44"/>
                <w:sz w:val="28"/>
                <w:szCs w:val="28"/>
              </w:rPr>
              <w:t>非必要不得开展树木砍伐迁移修剪工作。严格按照《广州市绿化条例》规定，凡涉及砍伐迁移树木或者修剪直径</w:t>
            </w:r>
            <w:r>
              <w:rPr>
                <w:rFonts w:ascii="仿宋" w:hAnsi="仿宋" w:eastAsia="仿宋" w:cs="仿宋"/>
                <w:kern w:val="44"/>
                <w:sz w:val="28"/>
                <w:szCs w:val="28"/>
              </w:rPr>
              <w:t>5公分以上枝条的，均需报区住房和城乡建设局审批。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kern w:val="44"/>
                <w:sz w:val="28"/>
                <w:szCs w:val="28"/>
              </w:rPr>
            </w:pPr>
            <w:r>
              <w:rPr>
                <w:rFonts w:hint="eastAsia" w:ascii="仿宋" w:hAnsi="仿宋" w:eastAsia="仿宋" w:cs="仿宋"/>
                <w:b/>
                <w:bCs/>
                <w:sz w:val="28"/>
                <w:szCs w:val="28"/>
                <w:lang w:val="zh-CN"/>
              </w:rPr>
              <w:t>智能电子报批</w:t>
            </w:r>
          </w:p>
        </w:tc>
        <w:tc>
          <w:tcPr>
            <w:tcW w:w="8255" w:type="dxa"/>
            <w:vAlign w:val="center"/>
          </w:tcPr>
          <w:p>
            <w:pPr>
              <w:keepNext/>
              <w:keepLines/>
              <w:spacing w:line="480" w:lineRule="exact"/>
              <w:ind w:firstLine="560" w:firstLineChars="200"/>
              <w:jc w:val="left"/>
              <w:outlineLvl w:val="0"/>
              <w:rPr>
                <w:rFonts w:ascii="仿宋" w:hAnsi="仿宋" w:eastAsia="仿宋" w:cs="仿宋"/>
                <w:i/>
                <w:iCs/>
                <w:kern w:val="44"/>
                <w:sz w:val="28"/>
                <w:szCs w:val="28"/>
              </w:rPr>
            </w:pPr>
            <w:r>
              <w:rPr>
                <w:rFonts w:hint="eastAsia" w:ascii="仿宋" w:hAnsi="仿宋" w:eastAsia="仿宋" w:cs="仿宋"/>
                <w:kern w:val="44"/>
                <w:sz w:val="28"/>
                <w:szCs w:val="28"/>
                <w:lang w:val="zh-CN"/>
              </w:rPr>
              <w:t>根据《关于进一步加快推进我市建筑信息模型（BIM）技术应用的通知》要求，本地块项目在办理建设工程规划许可证时建议组织建立BIM设计模型，并按要求提供BIM设计模型进行审查。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kern w:val="44"/>
                <w:sz w:val="28"/>
                <w:szCs w:val="28"/>
              </w:rPr>
            </w:pPr>
            <w:r>
              <w:rPr>
                <w:rFonts w:hint="eastAsia" w:ascii="仿宋" w:hAnsi="仿宋" w:eastAsia="仿宋" w:cs="仿宋"/>
                <w:b/>
                <w:bCs/>
                <w:sz w:val="28"/>
                <w:szCs w:val="28"/>
              </w:rPr>
              <w:t>档案管理</w:t>
            </w:r>
          </w:p>
        </w:tc>
        <w:tc>
          <w:tcPr>
            <w:tcW w:w="8255" w:type="dxa"/>
            <w:vAlign w:val="center"/>
          </w:tcPr>
          <w:p>
            <w:pPr>
              <w:keepNext/>
              <w:keepLines/>
              <w:spacing w:line="480" w:lineRule="exact"/>
              <w:ind w:firstLine="560" w:firstLineChars="200"/>
              <w:jc w:val="left"/>
              <w:outlineLvl w:val="0"/>
              <w:rPr>
                <w:rFonts w:ascii="仿宋" w:hAnsi="仿宋" w:eastAsia="仿宋" w:cs="仿宋"/>
                <w:kern w:val="44"/>
                <w:sz w:val="28"/>
                <w:szCs w:val="28"/>
              </w:rPr>
            </w:pPr>
            <w:r>
              <w:rPr>
                <w:rFonts w:hint="eastAsia" w:ascii="仿宋" w:hAnsi="仿宋" w:eastAsia="仿宋" w:cs="仿宋"/>
                <w:kern w:val="44"/>
                <w:sz w:val="28"/>
                <w:szCs w:val="28"/>
                <w:lang w:val="zh-CN"/>
              </w:rPr>
              <w:t>建设单位应按照《建设工程文件归档规范》（GB/T 50328-2014）和《建设工程档案编制规范》（DBJ 440100/T 153-2012）的要求，在工程招标及与勘察、设计、施工、监理等单位签订协议、合同时，应明确工程档案收集、整理及编制要求，及时汇总建设工程各环节的文件材料，建立、健全建设工程档案；在工程竣工验收后6个月内向市（区）城建档案管理机构报送一套符合要求的工程档案。逾期未报送工程档案的，将依据《中华人民共和国城乡规划法》第六十七条进行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383" w:type="dxa"/>
            <w:vAlign w:val="center"/>
          </w:tcPr>
          <w:p>
            <w:pPr>
              <w:spacing w:line="480" w:lineRule="exact"/>
              <w:jc w:val="center"/>
              <w:rPr>
                <w:rFonts w:ascii="仿宋" w:hAnsi="仿宋" w:eastAsia="仿宋" w:cs="仿宋"/>
                <w:b/>
                <w:bCs/>
                <w:sz w:val="28"/>
                <w:szCs w:val="28"/>
              </w:rPr>
            </w:pPr>
          </w:p>
        </w:tc>
        <w:tc>
          <w:tcPr>
            <w:tcW w:w="8255" w:type="dxa"/>
            <w:vAlign w:val="center"/>
          </w:tcPr>
          <w:p>
            <w:pPr>
              <w:keepNext/>
              <w:keepLines/>
              <w:spacing w:line="480" w:lineRule="exact"/>
              <w:ind w:firstLine="560" w:firstLineChars="200"/>
              <w:jc w:val="left"/>
              <w:outlineLvl w:val="0"/>
              <w:rPr>
                <w:rFonts w:ascii="仿宋" w:hAnsi="仿宋" w:eastAsia="仿宋" w:cs="仿宋"/>
                <w:kern w:val="44"/>
                <w:sz w:val="28"/>
                <w:szCs w:val="28"/>
                <w:lang w:val="zh-CN"/>
              </w:rPr>
            </w:pPr>
            <w:r>
              <w:rPr>
                <w:rFonts w:hint="eastAsia" w:ascii="仿宋" w:hAnsi="仿宋" w:eastAsia="仿宋" w:cs="仿宋"/>
                <w:kern w:val="44"/>
                <w:sz w:val="28"/>
                <w:szCs w:val="28"/>
                <w:lang w:val="zh-CN"/>
              </w:rPr>
              <w:t>本告知提示栏的内容系根据行业主管部门（单位）需求，在提供建设用地规划条件时一并告知或提示的事项，相关管理权限和法律义务相应由行业主管部门（单位）承担。</w:t>
            </w:r>
          </w:p>
        </w:tc>
      </w:tr>
    </w:tbl>
    <w:p>
      <w:pPr>
        <w:spacing w:line="480" w:lineRule="exact"/>
      </w:pPr>
    </w:p>
    <w:sectPr>
      <w:pgSz w:w="11906" w:h="16838"/>
      <w:pgMar w:top="1440" w:right="1800" w:bottom="1440" w:left="1800" w:header="851" w:footer="992" w:gutter="0"/>
      <w:cols w:space="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614E038"/>
    <w:multiLevelType w:val="singleLevel"/>
    <w:tmpl w:val="D614E038"/>
    <w:lvl w:ilvl="0" w:tentative="0">
      <w:start w:val="1"/>
      <w:numFmt w:val="chineseCounting"/>
      <w:suff w:val="nothing"/>
      <w:lvlText w:val="%1、"/>
      <w:lvlJc w:val="left"/>
      <w:rPr>
        <w:rFonts w:hint="eastAsia"/>
      </w:rPr>
    </w:lvl>
  </w:abstractNum>
  <w:abstractNum w:abstractNumId="1">
    <w:nsid w:val="440ADEE8"/>
    <w:multiLevelType w:val="singleLevel"/>
    <w:tmpl w:val="440ADEE8"/>
    <w:lvl w:ilvl="0" w:tentative="0">
      <w:start w:val="1"/>
      <w:numFmt w:val="decimal"/>
      <w:suff w:val="nothing"/>
      <w:lvlText w:val="%1．"/>
      <w:lvlJc w:val="left"/>
    </w:lvl>
  </w:abstractNum>
  <w:abstractNum w:abstractNumId="2">
    <w:nsid w:val="63DC9563"/>
    <w:multiLevelType w:val="singleLevel"/>
    <w:tmpl w:val="63DC9563"/>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210"/>
  <w:drawingGridVerticalSpacing w:val="156"/>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E54363"/>
    <w:rsid w:val="000504D5"/>
    <w:rsid w:val="00050C1B"/>
    <w:rsid w:val="00071B50"/>
    <w:rsid w:val="000E35A4"/>
    <w:rsid w:val="001F7E0E"/>
    <w:rsid w:val="00250986"/>
    <w:rsid w:val="002D71E0"/>
    <w:rsid w:val="002E5219"/>
    <w:rsid w:val="00321435"/>
    <w:rsid w:val="003664B8"/>
    <w:rsid w:val="003A0D5F"/>
    <w:rsid w:val="003C3286"/>
    <w:rsid w:val="003D146F"/>
    <w:rsid w:val="003E1594"/>
    <w:rsid w:val="00451DD2"/>
    <w:rsid w:val="004562A4"/>
    <w:rsid w:val="00460A9A"/>
    <w:rsid w:val="00486BBF"/>
    <w:rsid w:val="004E5D59"/>
    <w:rsid w:val="004F2038"/>
    <w:rsid w:val="00684874"/>
    <w:rsid w:val="006C2D01"/>
    <w:rsid w:val="00731606"/>
    <w:rsid w:val="007D0EBC"/>
    <w:rsid w:val="007E78DD"/>
    <w:rsid w:val="0080717D"/>
    <w:rsid w:val="008807BF"/>
    <w:rsid w:val="008B19E8"/>
    <w:rsid w:val="008F7BF8"/>
    <w:rsid w:val="00933EBA"/>
    <w:rsid w:val="00937D7C"/>
    <w:rsid w:val="00952509"/>
    <w:rsid w:val="00960044"/>
    <w:rsid w:val="00A67791"/>
    <w:rsid w:val="00A75B9F"/>
    <w:rsid w:val="00AA7034"/>
    <w:rsid w:val="00AB31D0"/>
    <w:rsid w:val="00B23C86"/>
    <w:rsid w:val="00B34B0E"/>
    <w:rsid w:val="00B54B9D"/>
    <w:rsid w:val="00C169B8"/>
    <w:rsid w:val="00C30D03"/>
    <w:rsid w:val="00C857F0"/>
    <w:rsid w:val="00C92B86"/>
    <w:rsid w:val="00CA566E"/>
    <w:rsid w:val="00CE5464"/>
    <w:rsid w:val="00D17BF1"/>
    <w:rsid w:val="00D23DBD"/>
    <w:rsid w:val="00D5406A"/>
    <w:rsid w:val="00E203BF"/>
    <w:rsid w:val="00E75974"/>
    <w:rsid w:val="00F066B1"/>
    <w:rsid w:val="00F41458"/>
    <w:rsid w:val="00F746C7"/>
    <w:rsid w:val="00F956E8"/>
    <w:rsid w:val="013D269D"/>
    <w:rsid w:val="03FD72CB"/>
    <w:rsid w:val="044D4F46"/>
    <w:rsid w:val="05B00A68"/>
    <w:rsid w:val="0AFC70B5"/>
    <w:rsid w:val="0DD76905"/>
    <w:rsid w:val="0E4F2658"/>
    <w:rsid w:val="0EA35DE4"/>
    <w:rsid w:val="10551E79"/>
    <w:rsid w:val="15C96081"/>
    <w:rsid w:val="16B62AD8"/>
    <w:rsid w:val="18F36DB8"/>
    <w:rsid w:val="19795B77"/>
    <w:rsid w:val="19FC0213"/>
    <w:rsid w:val="1B1476F6"/>
    <w:rsid w:val="1E866649"/>
    <w:rsid w:val="20FF015E"/>
    <w:rsid w:val="24D21E95"/>
    <w:rsid w:val="2586147B"/>
    <w:rsid w:val="282D72E6"/>
    <w:rsid w:val="2BC82F3E"/>
    <w:rsid w:val="2C8F56C0"/>
    <w:rsid w:val="2F086814"/>
    <w:rsid w:val="3001659C"/>
    <w:rsid w:val="378D32B6"/>
    <w:rsid w:val="386B2416"/>
    <w:rsid w:val="38F06D6F"/>
    <w:rsid w:val="3E79355D"/>
    <w:rsid w:val="3EB947C8"/>
    <w:rsid w:val="3FA97185"/>
    <w:rsid w:val="40E268CC"/>
    <w:rsid w:val="4115471E"/>
    <w:rsid w:val="43AA0992"/>
    <w:rsid w:val="43ED3AC2"/>
    <w:rsid w:val="46E54363"/>
    <w:rsid w:val="48093FAA"/>
    <w:rsid w:val="48DF0745"/>
    <w:rsid w:val="4D1738C9"/>
    <w:rsid w:val="52D16C2F"/>
    <w:rsid w:val="53DE77F3"/>
    <w:rsid w:val="55EA3E72"/>
    <w:rsid w:val="579566FC"/>
    <w:rsid w:val="582A6EBE"/>
    <w:rsid w:val="58E13705"/>
    <w:rsid w:val="58F85BB5"/>
    <w:rsid w:val="60B8232D"/>
    <w:rsid w:val="636A12B0"/>
    <w:rsid w:val="649865AB"/>
    <w:rsid w:val="65CA6A0E"/>
    <w:rsid w:val="67FC7C17"/>
    <w:rsid w:val="681403F2"/>
    <w:rsid w:val="6925642E"/>
    <w:rsid w:val="6A644910"/>
    <w:rsid w:val="6C061C40"/>
    <w:rsid w:val="6D817F3A"/>
    <w:rsid w:val="71690454"/>
    <w:rsid w:val="764C6FA2"/>
    <w:rsid w:val="76C554F0"/>
    <w:rsid w:val="7930684E"/>
    <w:rsid w:val="7995388C"/>
    <w:rsid w:val="7A5272A1"/>
    <w:rsid w:val="7E1918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3"/>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character" w:customStyle="1" w:styleId="11">
    <w:name w:val="页眉 字符"/>
    <w:basedOn w:val="9"/>
    <w:link w:val="6"/>
    <w:qFormat/>
    <w:uiPriority w:val="0"/>
    <w:rPr>
      <w:kern w:val="2"/>
      <w:sz w:val="18"/>
      <w:szCs w:val="18"/>
    </w:rPr>
  </w:style>
  <w:style w:type="character" w:customStyle="1" w:styleId="12">
    <w:name w:val="页脚 字符"/>
    <w:basedOn w:val="9"/>
    <w:link w:val="5"/>
    <w:qFormat/>
    <w:uiPriority w:val="0"/>
    <w:rPr>
      <w:kern w:val="2"/>
      <w:sz w:val="18"/>
      <w:szCs w:val="18"/>
    </w:rPr>
  </w:style>
  <w:style w:type="character" w:customStyle="1" w:styleId="13">
    <w:name w:val="批注框文本 字符"/>
    <w:basedOn w:val="9"/>
    <w:link w:val="4"/>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997</Words>
  <Characters>5684</Characters>
  <Lines>47</Lines>
  <Paragraphs>13</Paragraphs>
  <TotalTime>1</TotalTime>
  <ScaleCrop>false</ScaleCrop>
  <LinksUpToDate>false</LinksUpToDate>
  <CharactersWithSpaces>6668</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2020-08-03T01:39:00Z</dcterms:created>
  <dc:creator>袁云霄</dc:creator>
  <cp:lastModifiedBy>Christine</cp:lastModifiedBy>
  <cp:lastPrinted>2022-01-14T09:22:00Z</cp:lastPrinted>
  <dcterms:modified xsi:type="dcterms:W3CDTF">2022-01-18T01:51:25Z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B4032A7CD87C40629FC1449A79026B28</vt:lpwstr>
  </property>
</Properties>
</file>