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adjustRightInd w:val="0"/>
        <w:snapToGrid w:val="0"/>
        <w:spacing w:line="240" w:lineRule="atLeast"/>
        <w:ind w:firstLine="645"/>
        <w:jc w:val="right"/>
        <w:textAlignment w:val="baseline"/>
        <w:outlineLvl w:val="9"/>
        <w:rPr>
          <w:rFonts w:ascii="仿宋" w:hAnsi="仿宋" w:eastAsia="仿宋" w:cs="仿宋_GB2312"/>
          <w:sz w:val="32"/>
          <w:szCs w:val="32"/>
        </w:rPr>
      </w:pPr>
      <w:bookmarkStart w:id="0" w:name="_GoBack"/>
      <w:r>
        <w:rPr>
          <w:rFonts w:ascii="仿宋" w:hAnsi="仿宋" w:eastAsia="仿宋" w:cs="仿宋_GB2312"/>
          <w:sz w:val="32"/>
          <w:szCs w:val="32"/>
        </w:rPr>
        <w:t>粤府土审（02）〔202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</w:t>
      </w:r>
      <w:r>
        <w:rPr>
          <w:rFonts w:ascii="仿宋" w:hAnsi="仿宋" w:eastAsia="仿宋" w:cs="仿宋_GB2312"/>
          <w:sz w:val="32"/>
          <w:szCs w:val="32"/>
        </w:rPr>
        <w:t>〕8号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napToGrid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snapToGrid/>
          <w:kern w:val="2"/>
          <w:sz w:val="44"/>
          <w:szCs w:val="44"/>
          <w:lang w:val="en-US" w:eastAsia="zh-CN" w:bidi="ar-SA"/>
        </w:rPr>
        <w:t>广东省人民政府关于广州市南沙区2020年度第三十三批次城镇建设用地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snapToGrid/>
          <w:kern w:val="2"/>
          <w:sz w:val="44"/>
          <w:szCs w:val="44"/>
          <w:lang w:val="en-US" w:eastAsia="zh-CN" w:bidi="ar-SA"/>
        </w:rPr>
        <w:t>(增减挂钩) 的批复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left"/>
        <w:textAlignment w:val="baseline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jc w:val="left"/>
        <w:textAlignment w:val="baseline"/>
        <w:outlineLvl w:val="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bidi w:val="0"/>
        <w:spacing w:line="560" w:lineRule="exact"/>
        <w:ind w:firstLine="645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增减挂钩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）的请示》（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号）及相关材料已通过审核。根据《中华人民共和国土地管理法》第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四十四、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四十五、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以及《广东省实施&lt;中华人民共和国土地管理法&gt;办法》第二十九条的有关规定，批复如下：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该批次用地属使用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跨省调剂城乡建设用地增减挂钩节余指标的用地，建新方案已获省自然资源厅批复（粤自然资函〔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171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），不需再单独办理农用地转用审批手续。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同意上报的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征收土地方案。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同意你市将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万顷沙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福安经济联合社、沙尾二经济联合社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属下的集体农用地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22.4291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5.5533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10.8987公顷、林地0.3394公顷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、其他农用地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5.6377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公顷）转为建设用地，同时使用上述有关村集体建设用地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0.3967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公顷、未利用地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0.1127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公顷，以上合计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22.9385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公顷集体土地一并办理征收为国有土地手续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另同意你市将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南沙区政府掌握</w:t>
      </w:r>
      <w:r>
        <w:rPr>
          <w:rFonts w:hint="eastAsia" w:ascii="仿宋_GB2312" w:hAnsi="仿宋_GB2312" w:eastAsia="仿宋_GB2312" w:cs="仿宋_GB2312"/>
          <w:sz w:val="32"/>
          <w:szCs w:val="32"/>
        </w:rPr>
        <w:t>的国有农用地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0.8233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公顷（耕地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0.3362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公顷、园地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0.4854公顷、林地0.0012公顷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、其他农用地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0.0005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公顷）转为建设用地，同时使用上述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政府掌握的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0.0239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公顷、未利用地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0.4005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上述土地（合计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24.1862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公顷）经完善相关手续后依照规划安排作为广州市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</w:rPr>
        <w:t>区城镇建设用地。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该批次用地在土地利用总体规划中安排为城乡建设用地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交通水利建设用地</w:t>
      </w:r>
      <w:r>
        <w:rPr>
          <w:rFonts w:hint="eastAsia" w:ascii="仿宋_GB2312" w:hAnsi="仿宋_GB2312" w:eastAsia="仿宋_GB2312" w:cs="仿宋_GB2312"/>
          <w:sz w:val="32"/>
          <w:szCs w:val="32"/>
        </w:rPr>
        <w:t>，供地时土地用途应与土地利用总体规划中的规划安排相符；同时，供地方式、供地规模、供地标准等应严格按照国家和省的有关规定执行，切实做到节约集约用地。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请你市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人民政府督促相关区县按规定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发布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征收土地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五、使用土地涉及有关税费的收缴或调整，请按有关规定办理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、征地批后实施情况和具体项目供地情况须按规定报备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广东省人民政府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B4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2022-03-07T03:23:47Z</dcterms:created>
  <dc:creator>dukai</dc:creator>
  <cp:lastModifiedBy>杜凯</cp:lastModifiedBy>
  <dcterms:modified xsi:type="dcterms:W3CDTF">2022-03-07T03:23:58Z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