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sz w:val="26"/>
          <w:szCs w:val="26"/>
        </w:rPr>
      </w:pPr>
      <w:r>
        <w:rPr>
          <w:rFonts w:hint="eastAsia" w:ascii="黑体" w:hAnsi="黑体" w:eastAsia="黑体" w:cs="黑体"/>
          <w:sz w:val="26"/>
          <w:szCs w:val="26"/>
        </w:rPr>
        <w:t>附件</w:t>
      </w:r>
      <w:r>
        <w:rPr>
          <w:sz w:val="26"/>
          <w:szCs w:val="26"/>
        </w:rPr>
        <w:t>1</w:t>
      </w:r>
    </w:p>
    <w:p>
      <w:pPr>
        <w:spacing w:line="380" w:lineRule="exact"/>
        <w:ind w:firstLine="520" w:firstLineChars="200"/>
        <w:rPr>
          <w:sz w:val="26"/>
          <w:szCs w:val="26"/>
        </w:rPr>
      </w:pPr>
    </w:p>
    <w:p>
      <w:pPr>
        <w:spacing w:line="420" w:lineRule="exact"/>
        <w:jc w:val="center"/>
        <w:rPr>
          <w:rFonts w:hint="eastAsia" w:ascii="方正小标宋简体" w:hAnsi="方正小标宋简体" w:eastAsia="方正小标宋简体" w:cs="方正小标宋简体"/>
          <w:szCs w:val="32"/>
        </w:rPr>
      </w:pPr>
      <w:bookmarkStart w:id="0" w:name="_GoBack"/>
      <w:r>
        <w:rPr>
          <w:rFonts w:hint="eastAsia" w:ascii="方正小标宋简体" w:hAnsi="方正小标宋简体" w:eastAsia="方正小标宋简体" w:cs="方正小标宋简体"/>
          <w:szCs w:val="32"/>
        </w:rPr>
        <w:t>征地补偿安置方案</w:t>
      </w:r>
    </w:p>
    <w:bookmarkEnd w:id="0"/>
    <w:p>
      <w:pPr>
        <w:spacing w:line="380" w:lineRule="exact"/>
        <w:ind w:firstLine="520" w:firstLineChars="200"/>
        <w:rPr>
          <w:sz w:val="26"/>
          <w:szCs w:val="26"/>
        </w:rPr>
      </w:pPr>
    </w:p>
    <w:p>
      <w:pPr>
        <w:spacing w:line="380" w:lineRule="exact"/>
        <w:ind w:firstLine="520" w:firstLineChars="200"/>
        <w:rPr>
          <w:sz w:val="26"/>
          <w:szCs w:val="26"/>
        </w:rPr>
      </w:pPr>
      <w:r>
        <w:rPr>
          <w:sz w:val="26"/>
          <w:szCs w:val="26"/>
        </w:rPr>
        <w:t>为实施我区建设规划，完善城市功能，改善城市环境，促进经济、文化发展，拟征收广州市荔湾区白鹤洞街鹤洞股份合作经济联合社集体土地3.2604公顷。根据《中华人民共和国土地管理法》第二条、第四十五条、第四十七条，以及《广东省实施〈中华人民共和国土地管理法〉办法》等有关规定，结合我区的征收农用地区片综合地价和实际情况，现制定鹤洞村更新改造项目的征地补偿安置方案如下：</w:t>
      </w:r>
    </w:p>
    <w:p>
      <w:pPr>
        <w:spacing w:line="380" w:lineRule="exact"/>
        <w:ind w:firstLine="520" w:firstLineChars="200"/>
        <w:rPr>
          <w:rFonts w:hint="eastAsia" w:ascii="黑体" w:hAnsi="黑体" w:eastAsia="黑体" w:cs="黑体"/>
          <w:sz w:val="26"/>
          <w:szCs w:val="26"/>
        </w:rPr>
      </w:pPr>
      <w:r>
        <w:rPr>
          <w:rFonts w:hint="eastAsia" w:ascii="黑体" w:hAnsi="黑体" w:eastAsia="黑体" w:cs="黑体"/>
          <w:sz w:val="26"/>
          <w:szCs w:val="26"/>
        </w:rPr>
        <w:t>一、征收集体土地情况</w:t>
      </w:r>
    </w:p>
    <w:p>
      <w:pPr>
        <w:spacing w:line="380" w:lineRule="exact"/>
        <w:ind w:firstLine="520" w:firstLineChars="200"/>
        <w:rPr>
          <w:sz w:val="26"/>
          <w:szCs w:val="26"/>
        </w:rPr>
      </w:pPr>
      <w:r>
        <w:rPr>
          <w:sz w:val="26"/>
          <w:szCs w:val="26"/>
        </w:rPr>
        <w:t>征收集体土地总面积共3.2604公顷，其中农用地为2.7655公顷，未利用地为0.4949公顷。</w:t>
      </w:r>
    </w:p>
    <w:p>
      <w:pPr>
        <w:spacing w:line="380" w:lineRule="exact"/>
        <w:ind w:firstLine="520" w:firstLineChars="200"/>
        <w:rPr>
          <w:rFonts w:hint="eastAsia" w:ascii="黑体" w:hAnsi="黑体" w:eastAsia="黑体" w:cs="黑体"/>
          <w:sz w:val="26"/>
          <w:szCs w:val="26"/>
        </w:rPr>
      </w:pPr>
      <w:r>
        <w:rPr>
          <w:rFonts w:hint="eastAsia" w:ascii="黑体" w:hAnsi="黑体" w:eastAsia="黑体" w:cs="黑体"/>
          <w:sz w:val="26"/>
          <w:szCs w:val="26"/>
        </w:rPr>
        <w:t>二、征地补偿标准</w:t>
      </w:r>
    </w:p>
    <w:p>
      <w:pPr>
        <w:spacing w:line="380" w:lineRule="exact"/>
        <w:ind w:firstLine="520" w:firstLineChars="200"/>
        <w:rPr>
          <w:sz w:val="26"/>
          <w:szCs w:val="26"/>
        </w:rPr>
      </w:pPr>
      <w:r>
        <w:rPr>
          <w:sz w:val="26"/>
          <w:szCs w:val="26"/>
        </w:rPr>
        <w:t>（一）土地补偿费与安置补偿费。</w:t>
      </w:r>
    </w:p>
    <w:p>
      <w:pPr>
        <w:spacing w:line="380" w:lineRule="exact"/>
        <w:ind w:firstLine="520" w:firstLineChars="200"/>
        <w:rPr>
          <w:sz w:val="26"/>
          <w:szCs w:val="26"/>
        </w:rPr>
      </w:pPr>
    </w:p>
    <w:p>
      <w:pPr>
        <w:spacing w:line="370" w:lineRule="exact"/>
        <w:jc w:val="center"/>
        <w:rPr>
          <w:sz w:val="26"/>
          <w:szCs w:val="26"/>
        </w:rPr>
      </w:pPr>
      <w:r>
        <w:rPr>
          <w:sz w:val="26"/>
          <w:szCs w:val="26"/>
        </w:rPr>
        <w:t>土地补偿费与安置补偿费一览表</w:t>
      </w:r>
    </w:p>
    <w:p>
      <w:pPr>
        <w:spacing w:line="370" w:lineRule="exact"/>
        <w:ind w:firstLine="400" w:firstLineChars="200"/>
        <w:jc w:val="right"/>
        <w:rPr>
          <w:sz w:val="20"/>
        </w:rPr>
      </w:pPr>
      <w:r>
        <w:rPr>
          <w:sz w:val="20"/>
        </w:rPr>
        <w:t>（单位：公顷、万元/公顷、万元）</w:t>
      </w: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4"/>
        <w:gridCol w:w="1509"/>
        <w:gridCol w:w="946"/>
        <w:gridCol w:w="1032"/>
        <w:gridCol w:w="1189"/>
        <w:gridCol w:w="1060"/>
        <w:gridCol w:w="1173"/>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91" w:hRule="atLeast"/>
          <w:jc w:val="center"/>
        </w:trPr>
        <w:tc>
          <w:tcPr>
            <w:tcW w:w="734" w:type="dxa"/>
            <w:vMerge w:val="restart"/>
            <w:noWrap w:val="0"/>
            <w:vAlign w:val="center"/>
          </w:tcPr>
          <w:p>
            <w:pPr>
              <w:spacing w:line="300" w:lineRule="exact"/>
              <w:jc w:val="center"/>
              <w:rPr>
                <w:sz w:val="22"/>
                <w:szCs w:val="22"/>
              </w:rPr>
            </w:pPr>
            <w:r>
              <w:rPr>
                <w:sz w:val="22"/>
                <w:szCs w:val="22"/>
              </w:rPr>
              <w:t>单位</w:t>
            </w:r>
          </w:p>
        </w:tc>
        <w:tc>
          <w:tcPr>
            <w:tcW w:w="1509" w:type="dxa"/>
            <w:vMerge w:val="restart"/>
            <w:noWrap w:val="0"/>
            <w:vAlign w:val="center"/>
          </w:tcPr>
          <w:p>
            <w:pPr>
              <w:spacing w:line="300" w:lineRule="exact"/>
              <w:jc w:val="center"/>
              <w:rPr>
                <w:sz w:val="22"/>
                <w:szCs w:val="22"/>
              </w:rPr>
            </w:pPr>
            <w:r>
              <w:rPr>
                <w:sz w:val="22"/>
                <w:szCs w:val="22"/>
              </w:rPr>
              <w:t>土地类别</w:t>
            </w:r>
          </w:p>
        </w:tc>
        <w:tc>
          <w:tcPr>
            <w:tcW w:w="946" w:type="dxa"/>
            <w:vMerge w:val="restart"/>
            <w:noWrap w:val="0"/>
            <w:vAlign w:val="center"/>
          </w:tcPr>
          <w:p>
            <w:pPr>
              <w:spacing w:line="300" w:lineRule="exact"/>
              <w:jc w:val="center"/>
              <w:rPr>
                <w:sz w:val="22"/>
                <w:szCs w:val="22"/>
              </w:rPr>
            </w:pPr>
            <w:r>
              <w:rPr>
                <w:sz w:val="22"/>
                <w:szCs w:val="22"/>
              </w:rPr>
              <w:t>面积</w:t>
            </w:r>
          </w:p>
        </w:tc>
        <w:tc>
          <w:tcPr>
            <w:tcW w:w="2221" w:type="dxa"/>
            <w:gridSpan w:val="2"/>
            <w:noWrap w:val="0"/>
            <w:vAlign w:val="center"/>
          </w:tcPr>
          <w:p>
            <w:pPr>
              <w:spacing w:line="300" w:lineRule="exact"/>
              <w:jc w:val="center"/>
              <w:rPr>
                <w:sz w:val="22"/>
                <w:szCs w:val="22"/>
              </w:rPr>
            </w:pPr>
            <w:r>
              <w:rPr>
                <w:sz w:val="22"/>
                <w:szCs w:val="22"/>
              </w:rPr>
              <w:t>土地补偿费</w:t>
            </w:r>
          </w:p>
        </w:tc>
        <w:tc>
          <w:tcPr>
            <w:tcW w:w="2233" w:type="dxa"/>
            <w:gridSpan w:val="2"/>
            <w:noWrap w:val="0"/>
            <w:vAlign w:val="center"/>
          </w:tcPr>
          <w:p>
            <w:pPr>
              <w:spacing w:line="300" w:lineRule="exact"/>
              <w:jc w:val="center"/>
              <w:rPr>
                <w:sz w:val="22"/>
                <w:szCs w:val="22"/>
              </w:rPr>
            </w:pPr>
            <w:r>
              <w:rPr>
                <w:sz w:val="22"/>
                <w:szCs w:val="22"/>
              </w:rPr>
              <w:t>安置补偿费</w:t>
            </w:r>
          </w:p>
        </w:tc>
        <w:tc>
          <w:tcPr>
            <w:tcW w:w="1257" w:type="dxa"/>
            <w:vMerge w:val="restart"/>
            <w:noWrap w:val="0"/>
            <w:vAlign w:val="center"/>
          </w:tcPr>
          <w:p>
            <w:pPr>
              <w:spacing w:line="300" w:lineRule="exact"/>
              <w:jc w:val="center"/>
              <w:rPr>
                <w:sz w:val="22"/>
                <w:szCs w:val="22"/>
              </w:rPr>
            </w:pPr>
            <w:r>
              <w:rPr>
                <w:sz w:val="22"/>
                <w:szCs w:val="22"/>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2" w:hRule="atLeast"/>
          <w:jc w:val="center"/>
        </w:trPr>
        <w:tc>
          <w:tcPr>
            <w:tcW w:w="734" w:type="dxa"/>
            <w:vMerge w:val="continue"/>
            <w:noWrap w:val="0"/>
            <w:vAlign w:val="center"/>
          </w:tcPr>
          <w:p>
            <w:pPr>
              <w:spacing w:line="300" w:lineRule="exact"/>
              <w:jc w:val="center"/>
              <w:rPr>
                <w:sz w:val="22"/>
                <w:szCs w:val="22"/>
              </w:rPr>
            </w:pPr>
          </w:p>
        </w:tc>
        <w:tc>
          <w:tcPr>
            <w:tcW w:w="1509" w:type="dxa"/>
            <w:vMerge w:val="continue"/>
            <w:noWrap w:val="0"/>
            <w:vAlign w:val="center"/>
          </w:tcPr>
          <w:p>
            <w:pPr>
              <w:spacing w:line="300" w:lineRule="exact"/>
              <w:jc w:val="center"/>
              <w:rPr>
                <w:sz w:val="22"/>
                <w:szCs w:val="22"/>
              </w:rPr>
            </w:pPr>
          </w:p>
        </w:tc>
        <w:tc>
          <w:tcPr>
            <w:tcW w:w="946" w:type="dxa"/>
            <w:vMerge w:val="continue"/>
            <w:noWrap w:val="0"/>
            <w:vAlign w:val="center"/>
          </w:tcPr>
          <w:p>
            <w:pPr>
              <w:spacing w:line="300" w:lineRule="exact"/>
              <w:jc w:val="center"/>
              <w:rPr>
                <w:sz w:val="22"/>
                <w:szCs w:val="22"/>
              </w:rPr>
            </w:pPr>
          </w:p>
        </w:tc>
        <w:tc>
          <w:tcPr>
            <w:tcW w:w="1032" w:type="dxa"/>
            <w:noWrap w:val="0"/>
            <w:vAlign w:val="center"/>
          </w:tcPr>
          <w:p>
            <w:pPr>
              <w:spacing w:line="300" w:lineRule="exact"/>
              <w:jc w:val="center"/>
              <w:rPr>
                <w:sz w:val="22"/>
                <w:szCs w:val="22"/>
              </w:rPr>
            </w:pPr>
            <w:r>
              <w:rPr>
                <w:sz w:val="22"/>
                <w:szCs w:val="22"/>
              </w:rPr>
              <w:t>补偿标准</w:t>
            </w:r>
          </w:p>
        </w:tc>
        <w:tc>
          <w:tcPr>
            <w:tcW w:w="1189" w:type="dxa"/>
            <w:noWrap w:val="0"/>
            <w:vAlign w:val="center"/>
          </w:tcPr>
          <w:p>
            <w:pPr>
              <w:spacing w:line="300" w:lineRule="exact"/>
              <w:jc w:val="center"/>
              <w:rPr>
                <w:sz w:val="22"/>
                <w:szCs w:val="22"/>
              </w:rPr>
            </w:pPr>
            <w:r>
              <w:rPr>
                <w:sz w:val="22"/>
                <w:szCs w:val="22"/>
              </w:rPr>
              <w:t>补偿金额</w:t>
            </w:r>
          </w:p>
        </w:tc>
        <w:tc>
          <w:tcPr>
            <w:tcW w:w="1060" w:type="dxa"/>
            <w:noWrap w:val="0"/>
            <w:vAlign w:val="center"/>
          </w:tcPr>
          <w:p>
            <w:pPr>
              <w:spacing w:line="300" w:lineRule="exact"/>
              <w:jc w:val="center"/>
              <w:rPr>
                <w:sz w:val="22"/>
                <w:szCs w:val="22"/>
              </w:rPr>
            </w:pPr>
            <w:r>
              <w:rPr>
                <w:sz w:val="22"/>
                <w:szCs w:val="22"/>
              </w:rPr>
              <w:t>补偿标准</w:t>
            </w:r>
          </w:p>
        </w:tc>
        <w:tc>
          <w:tcPr>
            <w:tcW w:w="1173" w:type="dxa"/>
            <w:noWrap w:val="0"/>
            <w:vAlign w:val="center"/>
          </w:tcPr>
          <w:p>
            <w:pPr>
              <w:spacing w:line="300" w:lineRule="exact"/>
              <w:jc w:val="center"/>
              <w:rPr>
                <w:sz w:val="22"/>
                <w:szCs w:val="22"/>
              </w:rPr>
            </w:pPr>
            <w:r>
              <w:rPr>
                <w:sz w:val="22"/>
                <w:szCs w:val="22"/>
              </w:rPr>
              <w:t>补偿金额</w:t>
            </w:r>
          </w:p>
        </w:tc>
        <w:tc>
          <w:tcPr>
            <w:tcW w:w="1257" w:type="dxa"/>
            <w:vMerge w:val="continue"/>
            <w:noWrap w:val="0"/>
            <w:vAlign w:val="center"/>
          </w:tcPr>
          <w:p>
            <w:pPr>
              <w:spacing w:line="300" w:lineRule="exact"/>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3" w:hRule="atLeast"/>
          <w:jc w:val="center"/>
        </w:trPr>
        <w:tc>
          <w:tcPr>
            <w:tcW w:w="734" w:type="dxa"/>
            <w:vMerge w:val="continue"/>
            <w:noWrap w:val="0"/>
            <w:vAlign w:val="center"/>
          </w:tcPr>
          <w:p>
            <w:pPr>
              <w:spacing w:line="300" w:lineRule="exact"/>
              <w:rPr>
                <w:sz w:val="22"/>
                <w:szCs w:val="22"/>
              </w:rPr>
            </w:pPr>
          </w:p>
        </w:tc>
        <w:tc>
          <w:tcPr>
            <w:tcW w:w="1509" w:type="dxa"/>
            <w:noWrap w:val="0"/>
            <w:vAlign w:val="center"/>
          </w:tcPr>
          <w:p>
            <w:pPr>
              <w:spacing w:line="300" w:lineRule="exact"/>
              <w:jc w:val="center"/>
              <w:rPr>
                <w:sz w:val="22"/>
                <w:szCs w:val="22"/>
              </w:rPr>
            </w:pPr>
            <w:r>
              <w:rPr>
                <w:sz w:val="22"/>
                <w:szCs w:val="22"/>
              </w:rPr>
              <w:t>耕地</w:t>
            </w:r>
          </w:p>
        </w:tc>
        <w:tc>
          <w:tcPr>
            <w:tcW w:w="946" w:type="dxa"/>
            <w:noWrap w:val="0"/>
            <w:vAlign w:val="center"/>
          </w:tcPr>
          <w:p>
            <w:pPr>
              <w:spacing w:line="300" w:lineRule="exact"/>
              <w:jc w:val="right"/>
              <w:rPr>
                <w:sz w:val="22"/>
                <w:szCs w:val="22"/>
              </w:rPr>
            </w:pPr>
            <w:r>
              <w:rPr>
                <w:sz w:val="22"/>
                <w:szCs w:val="22"/>
              </w:rPr>
              <w:t>2.7655</w:t>
            </w:r>
          </w:p>
        </w:tc>
        <w:tc>
          <w:tcPr>
            <w:tcW w:w="1032" w:type="dxa"/>
            <w:noWrap w:val="0"/>
            <w:vAlign w:val="center"/>
          </w:tcPr>
          <w:p>
            <w:pPr>
              <w:spacing w:line="300" w:lineRule="exact"/>
              <w:jc w:val="right"/>
              <w:rPr>
                <w:sz w:val="22"/>
                <w:szCs w:val="22"/>
              </w:rPr>
            </w:pPr>
            <w:r>
              <w:rPr>
                <w:sz w:val="22"/>
                <w:szCs w:val="22"/>
              </w:rPr>
              <w:t>382.5</w:t>
            </w:r>
          </w:p>
        </w:tc>
        <w:tc>
          <w:tcPr>
            <w:tcW w:w="1189" w:type="dxa"/>
            <w:noWrap w:val="0"/>
            <w:vAlign w:val="center"/>
          </w:tcPr>
          <w:p>
            <w:pPr>
              <w:spacing w:line="300" w:lineRule="exact"/>
              <w:jc w:val="right"/>
              <w:rPr>
                <w:sz w:val="22"/>
                <w:szCs w:val="22"/>
              </w:rPr>
            </w:pPr>
            <w:r>
              <w:rPr>
                <w:sz w:val="22"/>
                <w:szCs w:val="22"/>
              </w:rPr>
              <w:t>1057.8038</w:t>
            </w:r>
          </w:p>
        </w:tc>
        <w:tc>
          <w:tcPr>
            <w:tcW w:w="1060" w:type="dxa"/>
            <w:noWrap w:val="0"/>
            <w:vAlign w:val="center"/>
          </w:tcPr>
          <w:p>
            <w:pPr>
              <w:spacing w:line="300" w:lineRule="exact"/>
              <w:jc w:val="right"/>
              <w:rPr>
                <w:sz w:val="22"/>
                <w:szCs w:val="22"/>
              </w:rPr>
            </w:pPr>
            <w:r>
              <w:rPr>
                <w:sz w:val="22"/>
                <w:szCs w:val="22"/>
              </w:rPr>
              <w:t>382.5</w:t>
            </w:r>
          </w:p>
        </w:tc>
        <w:tc>
          <w:tcPr>
            <w:tcW w:w="1173" w:type="dxa"/>
            <w:noWrap w:val="0"/>
            <w:vAlign w:val="center"/>
          </w:tcPr>
          <w:p>
            <w:pPr>
              <w:spacing w:line="300" w:lineRule="exact"/>
              <w:jc w:val="right"/>
              <w:rPr>
                <w:sz w:val="22"/>
                <w:szCs w:val="22"/>
              </w:rPr>
            </w:pPr>
            <w:r>
              <w:rPr>
                <w:sz w:val="22"/>
                <w:szCs w:val="22"/>
              </w:rPr>
              <w:t>1057.8038</w:t>
            </w:r>
          </w:p>
        </w:tc>
        <w:tc>
          <w:tcPr>
            <w:tcW w:w="1257" w:type="dxa"/>
            <w:noWrap w:val="0"/>
            <w:vAlign w:val="center"/>
          </w:tcPr>
          <w:p>
            <w:pPr>
              <w:spacing w:line="300" w:lineRule="exact"/>
              <w:jc w:val="right"/>
              <w:rPr>
                <w:sz w:val="22"/>
                <w:szCs w:val="22"/>
              </w:rPr>
            </w:pPr>
            <w:r>
              <w:rPr>
                <w:sz w:val="22"/>
                <w:szCs w:val="22"/>
              </w:rPr>
              <w:t>2115.6076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3" w:hRule="atLeast"/>
          <w:jc w:val="center"/>
        </w:trPr>
        <w:tc>
          <w:tcPr>
            <w:tcW w:w="734" w:type="dxa"/>
            <w:vMerge w:val="continue"/>
            <w:noWrap w:val="0"/>
            <w:vAlign w:val="center"/>
          </w:tcPr>
          <w:p>
            <w:pPr>
              <w:spacing w:line="300" w:lineRule="exact"/>
              <w:rPr>
                <w:sz w:val="22"/>
                <w:szCs w:val="22"/>
              </w:rPr>
            </w:pPr>
          </w:p>
        </w:tc>
        <w:tc>
          <w:tcPr>
            <w:tcW w:w="1509" w:type="dxa"/>
            <w:noWrap w:val="0"/>
            <w:vAlign w:val="center"/>
          </w:tcPr>
          <w:p>
            <w:pPr>
              <w:spacing w:line="300" w:lineRule="exact"/>
              <w:jc w:val="center"/>
              <w:rPr>
                <w:sz w:val="22"/>
                <w:szCs w:val="22"/>
              </w:rPr>
            </w:pPr>
            <w:r>
              <w:rPr>
                <w:sz w:val="22"/>
                <w:szCs w:val="22"/>
              </w:rPr>
              <w:t>未利用地</w:t>
            </w:r>
          </w:p>
        </w:tc>
        <w:tc>
          <w:tcPr>
            <w:tcW w:w="946" w:type="dxa"/>
            <w:noWrap w:val="0"/>
            <w:vAlign w:val="center"/>
          </w:tcPr>
          <w:p>
            <w:pPr>
              <w:spacing w:line="300" w:lineRule="exact"/>
              <w:jc w:val="right"/>
              <w:rPr>
                <w:sz w:val="22"/>
                <w:szCs w:val="22"/>
              </w:rPr>
            </w:pPr>
            <w:r>
              <w:rPr>
                <w:sz w:val="22"/>
                <w:szCs w:val="22"/>
              </w:rPr>
              <w:t>0.4949</w:t>
            </w:r>
          </w:p>
        </w:tc>
        <w:tc>
          <w:tcPr>
            <w:tcW w:w="1032" w:type="dxa"/>
            <w:noWrap w:val="0"/>
            <w:vAlign w:val="center"/>
          </w:tcPr>
          <w:p>
            <w:pPr>
              <w:spacing w:line="300" w:lineRule="exact"/>
              <w:jc w:val="right"/>
              <w:rPr>
                <w:sz w:val="22"/>
                <w:szCs w:val="22"/>
              </w:rPr>
            </w:pPr>
            <w:r>
              <w:rPr>
                <w:sz w:val="22"/>
                <w:szCs w:val="22"/>
              </w:rPr>
              <w:t>382.5</w:t>
            </w:r>
          </w:p>
        </w:tc>
        <w:tc>
          <w:tcPr>
            <w:tcW w:w="1189" w:type="dxa"/>
            <w:noWrap w:val="0"/>
            <w:vAlign w:val="center"/>
          </w:tcPr>
          <w:p>
            <w:pPr>
              <w:spacing w:line="300" w:lineRule="exact"/>
              <w:jc w:val="right"/>
              <w:rPr>
                <w:sz w:val="22"/>
                <w:szCs w:val="22"/>
              </w:rPr>
            </w:pPr>
            <w:r>
              <w:rPr>
                <w:sz w:val="22"/>
                <w:szCs w:val="22"/>
              </w:rPr>
              <w:t>189.2992</w:t>
            </w:r>
          </w:p>
        </w:tc>
        <w:tc>
          <w:tcPr>
            <w:tcW w:w="1060" w:type="dxa"/>
            <w:noWrap w:val="0"/>
            <w:vAlign w:val="center"/>
          </w:tcPr>
          <w:p>
            <w:pPr>
              <w:spacing w:line="300" w:lineRule="exact"/>
              <w:jc w:val="right"/>
              <w:rPr>
                <w:sz w:val="22"/>
                <w:szCs w:val="22"/>
              </w:rPr>
            </w:pPr>
            <w:r>
              <w:rPr>
                <w:sz w:val="22"/>
                <w:szCs w:val="22"/>
              </w:rPr>
              <w:t>382.5</w:t>
            </w:r>
          </w:p>
        </w:tc>
        <w:tc>
          <w:tcPr>
            <w:tcW w:w="1173" w:type="dxa"/>
            <w:noWrap w:val="0"/>
            <w:vAlign w:val="center"/>
          </w:tcPr>
          <w:p>
            <w:pPr>
              <w:spacing w:line="300" w:lineRule="exact"/>
              <w:jc w:val="right"/>
              <w:rPr>
                <w:sz w:val="22"/>
                <w:szCs w:val="22"/>
              </w:rPr>
            </w:pPr>
            <w:r>
              <w:rPr>
                <w:sz w:val="22"/>
                <w:szCs w:val="22"/>
              </w:rPr>
              <w:t>189.2992</w:t>
            </w:r>
          </w:p>
        </w:tc>
        <w:tc>
          <w:tcPr>
            <w:tcW w:w="1257" w:type="dxa"/>
            <w:noWrap w:val="0"/>
            <w:vAlign w:val="center"/>
          </w:tcPr>
          <w:p>
            <w:pPr>
              <w:spacing w:line="300" w:lineRule="exact"/>
              <w:jc w:val="right"/>
              <w:rPr>
                <w:sz w:val="22"/>
                <w:szCs w:val="22"/>
              </w:rPr>
            </w:pPr>
            <w:r>
              <w:rPr>
                <w:sz w:val="22"/>
                <w:szCs w:val="22"/>
              </w:rPr>
              <w:t>378.5984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08" w:hRule="atLeast"/>
          <w:jc w:val="center"/>
        </w:trPr>
        <w:tc>
          <w:tcPr>
            <w:tcW w:w="734" w:type="dxa"/>
            <w:vMerge w:val="continue"/>
            <w:noWrap w:val="0"/>
            <w:vAlign w:val="center"/>
          </w:tcPr>
          <w:p>
            <w:pPr>
              <w:spacing w:line="300" w:lineRule="exact"/>
              <w:rPr>
                <w:sz w:val="22"/>
                <w:szCs w:val="22"/>
              </w:rPr>
            </w:pPr>
          </w:p>
        </w:tc>
        <w:tc>
          <w:tcPr>
            <w:tcW w:w="6909" w:type="dxa"/>
            <w:gridSpan w:val="6"/>
            <w:noWrap w:val="0"/>
            <w:vAlign w:val="center"/>
          </w:tcPr>
          <w:p>
            <w:pPr>
              <w:spacing w:line="300" w:lineRule="exact"/>
              <w:jc w:val="center"/>
              <w:rPr>
                <w:sz w:val="22"/>
                <w:szCs w:val="22"/>
              </w:rPr>
            </w:pPr>
            <w:r>
              <w:rPr>
                <w:sz w:val="22"/>
                <w:szCs w:val="22"/>
              </w:rPr>
              <w:t>土地补偿费与安置补偿费合计</w:t>
            </w:r>
          </w:p>
        </w:tc>
        <w:tc>
          <w:tcPr>
            <w:tcW w:w="1257" w:type="dxa"/>
            <w:noWrap w:val="0"/>
            <w:vAlign w:val="center"/>
          </w:tcPr>
          <w:p>
            <w:pPr>
              <w:spacing w:line="300" w:lineRule="exact"/>
              <w:jc w:val="right"/>
              <w:rPr>
                <w:sz w:val="22"/>
                <w:szCs w:val="22"/>
              </w:rPr>
            </w:pPr>
            <w:r>
              <w:rPr>
                <w:sz w:val="22"/>
                <w:szCs w:val="22"/>
              </w:rPr>
              <w:t>2494.2060</w:t>
            </w:r>
          </w:p>
        </w:tc>
      </w:tr>
    </w:tbl>
    <w:p>
      <w:pPr>
        <w:spacing w:line="370" w:lineRule="exact"/>
        <w:ind w:firstLine="400" w:firstLineChars="200"/>
        <w:rPr>
          <w:sz w:val="20"/>
        </w:rPr>
      </w:pPr>
      <w:r>
        <w:rPr>
          <w:sz w:val="20"/>
        </w:rPr>
        <w:t>备注：该用地的用地单位和被征地单位均为鹤洞股份合作经济联合社，征地补偿款无需实际支付。</w:t>
      </w:r>
    </w:p>
    <w:p>
      <w:pPr>
        <w:spacing w:line="370" w:lineRule="exact"/>
        <w:ind w:firstLine="520" w:firstLineChars="200"/>
        <w:rPr>
          <w:sz w:val="26"/>
          <w:szCs w:val="26"/>
        </w:rPr>
      </w:pPr>
    </w:p>
    <w:p>
      <w:pPr>
        <w:spacing w:line="380" w:lineRule="exact"/>
        <w:ind w:firstLine="520" w:firstLineChars="200"/>
        <w:rPr>
          <w:sz w:val="26"/>
          <w:szCs w:val="26"/>
        </w:rPr>
      </w:pPr>
      <w:r>
        <w:rPr>
          <w:sz w:val="26"/>
          <w:szCs w:val="26"/>
        </w:rPr>
        <w:t>（二）青苗补偿费及地上附着物补偿费。根据《拟征收土地现状调查确认表》，征地范围内不存在青苗、地上附着物，无需进行补偿。</w:t>
      </w:r>
    </w:p>
    <w:p>
      <w:pPr>
        <w:spacing w:line="380" w:lineRule="exact"/>
        <w:ind w:firstLine="520" w:firstLineChars="200"/>
        <w:rPr>
          <w:sz w:val="26"/>
          <w:szCs w:val="26"/>
        </w:rPr>
      </w:pPr>
      <w:r>
        <w:rPr>
          <w:sz w:val="26"/>
          <w:szCs w:val="26"/>
        </w:rPr>
        <w:t>（三）农业人口安置。本次征收土地所涉及的被安置农业人员由被征地村以货币补偿的形式安置。</w:t>
      </w:r>
    </w:p>
    <w:p>
      <w:pPr>
        <w:spacing w:line="380" w:lineRule="exact"/>
        <w:ind w:firstLine="520" w:firstLineChars="200"/>
        <w:rPr>
          <w:rFonts w:hint="eastAsia" w:ascii="黑体" w:hAnsi="黑体" w:eastAsia="黑体" w:cs="黑体"/>
          <w:sz w:val="26"/>
          <w:szCs w:val="26"/>
        </w:rPr>
      </w:pPr>
      <w:r>
        <w:rPr>
          <w:rFonts w:hint="eastAsia" w:ascii="黑体" w:hAnsi="黑体" w:eastAsia="黑体" w:cs="黑体"/>
          <w:sz w:val="26"/>
          <w:szCs w:val="26"/>
        </w:rPr>
        <w:t>三、安置措施情况</w:t>
      </w:r>
    </w:p>
    <w:p>
      <w:pPr>
        <w:spacing w:line="380" w:lineRule="exact"/>
        <w:ind w:firstLine="520" w:firstLineChars="200"/>
        <w:rPr>
          <w:sz w:val="26"/>
          <w:szCs w:val="26"/>
        </w:rPr>
      </w:pPr>
      <w:r>
        <w:rPr>
          <w:sz w:val="26"/>
          <w:szCs w:val="26"/>
        </w:rPr>
        <w:t>该用地的用地单位和被征地单位均为鹤洞经济联合社，鹤洞经济联合社已出具同意不安排留用地的书面意见。（被征地农民养老保障安置情况详见《被征地农民养老保障方案》）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2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2022-03-17T08:26:09Z</dcterms:created>
  <dc:creator>dukai</dc:creator>
  <cp:lastModifiedBy>杜凯</cp:lastModifiedBy>
  <dcterms:modified xsi:type="dcterms:W3CDTF">2022-03-17T08:26:42Z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