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50" w:line="560" w:lineRule="exact"/>
        <w:jc w:val="center"/>
        <w:rPr>
          <w:rFonts w:ascii="黑体" w:hAnsi="黑体" w:eastAsia="黑体" w:cs="黑体"/>
          <w:sz w:val="44"/>
          <w:szCs w:val="52"/>
        </w:rPr>
      </w:pPr>
      <w:bookmarkStart w:id="0" w:name="_GoBack"/>
      <w:bookmarkEnd w:id="0"/>
      <w:r>
        <w:rPr>
          <w:rFonts w:hint="eastAsia" w:ascii="黑体" w:hAnsi="黑体" w:eastAsia="黑体" w:cs="黑体"/>
          <w:sz w:val="44"/>
          <w:szCs w:val="52"/>
        </w:rPr>
        <w:t>征地补偿安置方案</w:t>
      </w:r>
    </w:p>
    <w:p>
      <w:pPr>
        <w:spacing w:afterLines="50" w:line="560" w:lineRule="exact"/>
        <w:jc w:val="center"/>
        <w:rPr>
          <w:sz w:val="32"/>
        </w:rPr>
      </w:pPr>
    </w:p>
    <w:p>
      <w:pPr>
        <w:spacing w:line="56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为实施城镇规划，广州市南沙区人民政府拟征收</w:t>
      </w:r>
      <w:r>
        <w:rPr>
          <w:rFonts w:hint="eastAsia" w:ascii="仿宋_GB2312" w:hAnsi="仿宋_GB2312" w:eastAsia="仿宋_GB2312" w:cs="仿宋_GB2312"/>
          <w:sz w:val="32"/>
          <w:lang w:eastAsia="zh-CN"/>
        </w:rPr>
        <w:t>万顷沙</w:t>
      </w:r>
      <w:r>
        <w:rPr>
          <w:rFonts w:hint="eastAsia" w:ascii="仿宋_GB2312" w:hAnsi="仿宋_GB2312" w:eastAsia="仿宋_GB2312" w:cs="仿宋_GB2312"/>
          <w:sz w:val="32"/>
        </w:rPr>
        <w:t>镇</w:t>
      </w:r>
      <w:r>
        <w:rPr>
          <w:rFonts w:hint="eastAsia" w:ascii="仿宋_GB2312" w:hAnsi="仿宋_GB2312" w:eastAsia="仿宋_GB2312" w:cs="仿宋_GB2312"/>
          <w:sz w:val="32"/>
          <w:lang w:eastAsia="zh-CN"/>
        </w:rPr>
        <w:t>沙尾一</w:t>
      </w:r>
      <w:r>
        <w:rPr>
          <w:rFonts w:hint="eastAsia" w:ascii="仿宋_GB2312" w:hAnsi="仿宋_GB2312" w:eastAsia="仿宋_GB2312" w:cs="仿宋_GB2312"/>
          <w:sz w:val="32"/>
        </w:rPr>
        <w:t>经济联合社农民集体属下的集体土地</w:t>
      </w:r>
      <w:r>
        <w:rPr>
          <w:rFonts w:hint="eastAsia" w:ascii="仿宋_GB2312" w:hAnsi="仿宋_GB2312" w:eastAsia="仿宋_GB2312" w:cs="仿宋_GB2312"/>
          <w:sz w:val="32"/>
          <w:lang w:val="en-US" w:eastAsia="zh-CN"/>
        </w:rPr>
        <w:t>0.1267</w:t>
      </w:r>
      <w:r>
        <w:rPr>
          <w:rFonts w:hint="eastAsia" w:ascii="仿宋_GB2312" w:hAnsi="仿宋_GB2312" w:eastAsia="仿宋_GB2312" w:cs="仿宋_GB2312"/>
          <w:sz w:val="32"/>
        </w:rPr>
        <w:t>公顷。根据《中华人民共和国土地管理法》《广东省实施&lt;中华人民共和国土地管理法&gt;办法》等规定以及广州市征收农用地区片综合地价，拟定了征地补偿安置方案，具体如下：</w:t>
      </w:r>
    </w:p>
    <w:p>
      <w:pPr>
        <w:spacing w:line="560" w:lineRule="exact"/>
        <w:ind w:left="640"/>
        <w:rPr>
          <w:rFonts w:ascii="仿宋_GB2312" w:hAnsi="仿宋_GB2312" w:eastAsia="仿宋_GB2312" w:cs="仿宋_GB2312"/>
          <w:sz w:val="32"/>
          <w:szCs w:val="32"/>
        </w:rPr>
      </w:pPr>
      <w:r>
        <w:rPr>
          <w:rFonts w:hint="eastAsia" w:ascii="仿宋_GB2312" w:hAnsi="仿宋_GB2312" w:eastAsia="仿宋_GB2312" w:cs="仿宋_GB2312"/>
          <w:sz w:val="32"/>
          <w:szCs w:val="32"/>
        </w:rPr>
        <w:t>一、征收集体土地情况</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征收集体土地总面积</w:t>
      </w:r>
      <w:r>
        <w:rPr>
          <w:rFonts w:hint="eastAsia" w:ascii="仿宋_GB2312" w:hAnsi="仿宋_GB2312" w:eastAsia="仿宋_GB2312" w:cs="仿宋_GB2312"/>
          <w:sz w:val="32"/>
          <w:lang w:val="en-US" w:eastAsia="zh-CN"/>
        </w:rPr>
        <w:t>0.1267</w:t>
      </w:r>
      <w:r>
        <w:rPr>
          <w:rFonts w:hint="eastAsia" w:ascii="仿宋_GB2312" w:hAnsi="仿宋_GB2312" w:eastAsia="仿宋_GB2312" w:cs="仿宋_GB2312"/>
          <w:sz w:val="32"/>
          <w:szCs w:val="32"/>
        </w:rPr>
        <w:t>公顷，其中农用地</w:t>
      </w:r>
      <w:r>
        <w:rPr>
          <w:rFonts w:hint="eastAsia" w:ascii="仿宋_GB2312" w:hAnsi="仿宋" w:eastAsia="仿宋_GB2312"/>
          <w:sz w:val="32"/>
          <w:szCs w:val="32"/>
          <w:lang w:val="en-US" w:eastAsia="zh-CN"/>
        </w:rPr>
        <w:t>0.1267</w:t>
      </w:r>
      <w:r>
        <w:rPr>
          <w:rFonts w:hint="eastAsia" w:ascii="仿宋_GB2312" w:hAnsi="仿宋_GB2312" w:eastAsia="仿宋_GB2312" w:cs="仿宋_GB2312"/>
          <w:sz w:val="32"/>
          <w:szCs w:val="32"/>
        </w:rPr>
        <w:t>公顷（耕地</w:t>
      </w:r>
      <w:r>
        <w:rPr>
          <w:rFonts w:hint="eastAsia" w:ascii="仿宋_GB2312" w:hAnsi="仿宋_GB2312" w:eastAsia="仿宋_GB2312" w:cs="仿宋_GB2312"/>
          <w:sz w:val="32"/>
          <w:szCs w:val="32"/>
          <w:lang w:val="en-US" w:eastAsia="zh-CN"/>
        </w:rPr>
        <w:t>0.0380</w:t>
      </w:r>
      <w:r>
        <w:rPr>
          <w:rFonts w:hint="eastAsia" w:ascii="仿宋_GB2312" w:hAnsi="仿宋_GB2312" w:eastAsia="仿宋_GB2312" w:cs="仿宋_GB2312"/>
          <w:sz w:val="32"/>
          <w:szCs w:val="32"/>
        </w:rPr>
        <w:t>公顷、园地0.</w:t>
      </w:r>
      <w:r>
        <w:rPr>
          <w:rFonts w:hint="eastAsia" w:ascii="仿宋_GB2312" w:hAnsi="仿宋_GB2312" w:eastAsia="仿宋_GB2312" w:cs="仿宋_GB2312"/>
          <w:sz w:val="32"/>
          <w:szCs w:val="32"/>
          <w:lang w:val="en-US" w:eastAsia="zh-CN"/>
        </w:rPr>
        <w:t>0199</w:t>
      </w:r>
      <w:r>
        <w:rPr>
          <w:rFonts w:hint="eastAsia" w:ascii="仿宋_GB2312" w:hAnsi="仿宋_GB2312" w:eastAsia="仿宋_GB2312" w:cs="仿宋_GB2312"/>
          <w:sz w:val="32"/>
          <w:szCs w:val="32"/>
        </w:rPr>
        <w:t>公顷、</w:t>
      </w:r>
      <w:r>
        <w:rPr>
          <w:rFonts w:hint="eastAsia" w:ascii="仿宋_GB2312" w:hAnsi="仿宋_GB2312" w:eastAsia="仿宋_GB2312" w:cs="仿宋_GB2312"/>
          <w:sz w:val="32"/>
          <w:szCs w:val="32"/>
          <w:lang w:eastAsia="zh-CN"/>
        </w:rPr>
        <w:t>林地</w:t>
      </w:r>
      <w:r>
        <w:rPr>
          <w:rFonts w:hint="eastAsia" w:ascii="仿宋_GB2312" w:hAnsi="仿宋_GB2312" w:eastAsia="仿宋_GB2312" w:cs="仿宋_GB2312"/>
          <w:sz w:val="32"/>
          <w:szCs w:val="32"/>
          <w:lang w:val="en-US" w:eastAsia="zh-CN"/>
        </w:rPr>
        <w:t>0.0021公顷、</w:t>
      </w:r>
      <w:r>
        <w:rPr>
          <w:rFonts w:hint="eastAsia" w:ascii="仿宋_GB2312" w:hAnsi="仿宋_GB2312" w:eastAsia="仿宋_GB2312" w:cs="仿宋_GB2312"/>
          <w:sz w:val="32"/>
          <w:szCs w:val="32"/>
        </w:rPr>
        <w:t>其</w:t>
      </w:r>
      <w:r>
        <w:rPr>
          <w:rFonts w:hint="eastAsia" w:ascii="仿宋_GB2312" w:hAnsi="仿宋_GB2312" w:eastAsia="仿宋_GB2312" w:cs="仿宋_GB2312"/>
          <w:sz w:val="32"/>
          <w:szCs w:val="32"/>
          <w:shd w:val="clear" w:color="auto" w:fill="FFFFFF"/>
        </w:rPr>
        <w:t>他农用地</w:t>
      </w:r>
      <w:r>
        <w:rPr>
          <w:rFonts w:hint="eastAsia" w:ascii="仿宋_GB2312" w:hAnsi="仿宋_GB2312" w:eastAsia="仿宋_GB2312" w:cs="仿宋_GB2312"/>
          <w:sz w:val="32"/>
          <w:szCs w:val="32"/>
          <w:shd w:val="clear" w:color="auto" w:fill="FFFFFF"/>
          <w:lang w:val="en-US" w:eastAsia="zh-CN"/>
        </w:rPr>
        <w:t>0.0667</w:t>
      </w:r>
      <w:r>
        <w:rPr>
          <w:rFonts w:hint="eastAsia" w:ascii="仿宋_GB2312" w:hAnsi="仿宋_GB2312" w:eastAsia="仿宋_GB2312" w:cs="仿宋_GB2312"/>
          <w:sz w:val="32"/>
          <w:szCs w:val="32"/>
        </w:rPr>
        <w:t>公顷）。具体结果以用地批准结果为准。</w:t>
      </w:r>
    </w:p>
    <w:p>
      <w:pPr>
        <w:numPr>
          <w:ilvl w:val="0"/>
          <w:numId w:val="1"/>
        </w:numPr>
        <w:spacing w:line="560" w:lineRule="exact"/>
        <w:ind w:left="420" w:leftChars="200"/>
        <w:rPr>
          <w:rFonts w:eastAsia="仿宋_GB2312"/>
          <w:sz w:val="32"/>
          <w:szCs w:val="32"/>
        </w:rPr>
      </w:pPr>
      <w:r>
        <w:rPr>
          <w:rFonts w:eastAsia="仿宋_GB2312"/>
          <w:sz w:val="32"/>
          <w:szCs w:val="32"/>
        </w:rPr>
        <w:t>土地补偿费与安置补偿费</w:t>
      </w:r>
    </w:p>
    <w:p>
      <w:pPr>
        <w:spacing w:beforeLines="50" w:line="560" w:lineRule="exact"/>
        <w:jc w:val="center"/>
        <w:rPr>
          <w:rFonts w:eastAsia="仿宋_GB2312"/>
          <w:b/>
          <w:bCs/>
          <w:sz w:val="28"/>
          <w:szCs w:val="28"/>
        </w:rPr>
      </w:pPr>
      <w:r>
        <w:rPr>
          <w:rFonts w:hint="eastAsia" w:eastAsia="仿宋_GB2312"/>
          <w:b/>
          <w:bCs/>
          <w:sz w:val="28"/>
          <w:szCs w:val="28"/>
        </w:rPr>
        <w:t>土地补偿费与安置补偿费一览表</w:t>
      </w:r>
    </w:p>
    <w:p>
      <w:pPr>
        <w:spacing w:line="560" w:lineRule="exact"/>
        <w:jc w:val="right"/>
        <w:rPr>
          <w:rFonts w:eastAsia="仿宋_GB2312"/>
          <w:sz w:val="22"/>
          <w:szCs w:val="22"/>
        </w:rPr>
      </w:pPr>
      <w:r>
        <w:rPr>
          <w:rFonts w:hint="eastAsia" w:eastAsia="仿宋_GB2312"/>
          <w:sz w:val="22"/>
          <w:szCs w:val="22"/>
        </w:rPr>
        <w:t>（单位：公顷、万元/公顷、万元）</w:t>
      </w:r>
    </w:p>
    <w:tbl>
      <w:tblPr>
        <w:tblStyle w:val="4"/>
        <w:tblW w:w="10174"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1276"/>
        <w:gridCol w:w="1134"/>
        <w:gridCol w:w="992"/>
        <w:gridCol w:w="1418"/>
        <w:gridCol w:w="992"/>
        <w:gridCol w:w="1418"/>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418" w:type="dxa"/>
            <w:vMerge w:val="restart"/>
            <w:vAlign w:val="center"/>
          </w:tcPr>
          <w:p>
            <w:pPr>
              <w:spacing w:line="560" w:lineRule="exact"/>
              <w:jc w:val="center"/>
              <w:rPr>
                <w:rFonts w:eastAsia="仿宋_GB2312"/>
                <w:b/>
                <w:bCs/>
                <w:sz w:val="24"/>
              </w:rPr>
            </w:pPr>
            <w:r>
              <w:rPr>
                <w:rFonts w:hint="eastAsia" w:eastAsia="仿宋_GB2312"/>
                <w:b/>
                <w:bCs/>
                <w:sz w:val="24"/>
              </w:rPr>
              <w:t>单位</w:t>
            </w:r>
          </w:p>
        </w:tc>
        <w:tc>
          <w:tcPr>
            <w:tcW w:w="1276" w:type="dxa"/>
            <w:vMerge w:val="restart"/>
            <w:vAlign w:val="center"/>
          </w:tcPr>
          <w:p>
            <w:pPr>
              <w:spacing w:line="560" w:lineRule="exact"/>
              <w:jc w:val="center"/>
              <w:rPr>
                <w:rFonts w:eastAsia="仿宋_GB2312"/>
                <w:b/>
                <w:bCs/>
                <w:sz w:val="24"/>
              </w:rPr>
            </w:pPr>
            <w:r>
              <w:rPr>
                <w:rFonts w:hint="eastAsia" w:eastAsia="仿宋_GB2312"/>
                <w:b/>
                <w:bCs/>
                <w:sz w:val="24"/>
              </w:rPr>
              <w:t>土地类别</w:t>
            </w:r>
          </w:p>
        </w:tc>
        <w:tc>
          <w:tcPr>
            <w:tcW w:w="1134" w:type="dxa"/>
            <w:vMerge w:val="restart"/>
            <w:vAlign w:val="center"/>
          </w:tcPr>
          <w:p>
            <w:pPr>
              <w:spacing w:line="560" w:lineRule="exact"/>
              <w:jc w:val="center"/>
              <w:rPr>
                <w:rFonts w:eastAsia="仿宋_GB2312"/>
                <w:b/>
                <w:bCs/>
                <w:sz w:val="24"/>
              </w:rPr>
            </w:pPr>
            <w:r>
              <w:rPr>
                <w:rFonts w:hint="eastAsia" w:eastAsia="仿宋_GB2312"/>
                <w:b/>
                <w:bCs/>
                <w:sz w:val="24"/>
              </w:rPr>
              <w:t>面积</w:t>
            </w:r>
          </w:p>
        </w:tc>
        <w:tc>
          <w:tcPr>
            <w:tcW w:w="2410" w:type="dxa"/>
            <w:gridSpan w:val="2"/>
            <w:vAlign w:val="center"/>
          </w:tcPr>
          <w:p>
            <w:pPr>
              <w:spacing w:line="560" w:lineRule="exact"/>
              <w:jc w:val="center"/>
              <w:rPr>
                <w:rFonts w:eastAsia="仿宋_GB2312"/>
                <w:b/>
                <w:bCs/>
                <w:sz w:val="24"/>
              </w:rPr>
            </w:pPr>
            <w:r>
              <w:rPr>
                <w:rFonts w:hint="eastAsia" w:eastAsia="仿宋_GB2312"/>
                <w:b/>
                <w:bCs/>
                <w:sz w:val="24"/>
              </w:rPr>
              <w:t>土地补偿费</w:t>
            </w:r>
          </w:p>
        </w:tc>
        <w:tc>
          <w:tcPr>
            <w:tcW w:w="2410" w:type="dxa"/>
            <w:gridSpan w:val="2"/>
            <w:vAlign w:val="center"/>
          </w:tcPr>
          <w:p>
            <w:pPr>
              <w:spacing w:line="560" w:lineRule="exact"/>
              <w:jc w:val="center"/>
              <w:rPr>
                <w:rFonts w:eastAsia="仿宋_GB2312"/>
                <w:b/>
                <w:bCs/>
                <w:sz w:val="24"/>
              </w:rPr>
            </w:pPr>
            <w:r>
              <w:rPr>
                <w:rFonts w:hint="eastAsia" w:eastAsia="仿宋_GB2312"/>
                <w:b/>
                <w:bCs/>
                <w:sz w:val="24"/>
              </w:rPr>
              <w:t>安置补偿费</w:t>
            </w:r>
          </w:p>
        </w:tc>
        <w:tc>
          <w:tcPr>
            <w:tcW w:w="1526" w:type="dxa"/>
            <w:vMerge w:val="restart"/>
            <w:vAlign w:val="center"/>
          </w:tcPr>
          <w:p>
            <w:pPr>
              <w:spacing w:line="560" w:lineRule="exact"/>
              <w:jc w:val="center"/>
              <w:rPr>
                <w:rFonts w:eastAsia="仿宋_GB2312"/>
                <w:b/>
                <w:bCs/>
                <w:sz w:val="24"/>
              </w:rPr>
            </w:pPr>
            <w:r>
              <w:rPr>
                <w:rFonts w:hint="eastAsia" w:eastAsia="仿宋_GB2312"/>
                <w:b/>
                <w:bCs/>
                <w:sz w:val="24"/>
              </w:rPr>
              <w:t>小 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418" w:type="dxa"/>
            <w:vMerge w:val="continue"/>
            <w:vAlign w:val="center"/>
          </w:tcPr>
          <w:p>
            <w:pPr>
              <w:spacing w:line="560" w:lineRule="exact"/>
              <w:jc w:val="center"/>
              <w:rPr>
                <w:rFonts w:eastAsia="仿宋_GB2312"/>
                <w:b/>
                <w:bCs/>
                <w:sz w:val="24"/>
              </w:rPr>
            </w:pPr>
          </w:p>
        </w:tc>
        <w:tc>
          <w:tcPr>
            <w:tcW w:w="1276" w:type="dxa"/>
            <w:vMerge w:val="continue"/>
            <w:vAlign w:val="center"/>
          </w:tcPr>
          <w:p>
            <w:pPr>
              <w:spacing w:line="560" w:lineRule="exact"/>
              <w:jc w:val="center"/>
              <w:rPr>
                <w:rFonts w:eastAsia="仿宋_GB2312"/>
                <w:b/>
                <w:bCs/>
                <w:sz w:val="24"/>
              </w:rPr>
            </w:pPr>
          </w:p>
        </w:tc>
        <w:tc>
          <w:tcPr>
            <w:tcW w:w="1134" w:type="dxa"/>
            <w:vMerge w:val="continue"/>
            <w:vAlign w:val="center"/>
          </w:tcPr>
          <w:p>
            <w:pPr>
              <w:spacing w:line="560" w:lineRule="exact"/>
              <w:jc w:val="center"/>
              <w:rPr>
                <w:rFonts w:eastAsia="仿宋_GB2312"/>
                <w:b/>
                <w:bCs/>
                <w:sz w:val="24"/>
              </w:rPr>
            </w:pPr>
          </w:p>
        </w:tc>
        <w:tc>
          <w:tcPr>
            <w:tcW w:w="992" w:type="dxa"/>
            <w:vAlign w:val="center"/>
          </w:tcPr>
          <w:p>
            <w:pPr>
              <w:spacing w:line="560" w:lineRule="exact"/>
              <w:jc w:val="center"/>
              <w:rPr>
                <w:rFonts w:eastAsia="仿宋_GB2312"/>
                <w:b/>
                <w:bCs/>
                <w:sz w:val="24"/>
              </w:rPr>
            </w:pPr>
            <w:r>
              <w:rPr>
                <w:rFonts w:hint="eastAsia" w:eastAsia="仿宋_GB2312"/>
                <w:b/>
                <w:bCs/>
                <w:sz w:val="24"/>
              </w:rPr>
              <w:t>补偿</w:t>
            </w:r>
          </w:p>
          <w:p>
            <w:pPr>
              <w:spacing w:line="560" w:lineRule="exact"/>
              <w:jc w:val="center"/>
              <w:rPr>
                <w:rFonts w:eastAsia="仿宋_GB2312"/>
                <w:b/>
                <w:bCs/>
                <w:sz w:val="24"/>
              </w:rPr>
            </w:pPr>
            <w:r>
              <w:rPr>
                <w:rFonts w:hint="eastAsia" w:eastAsia="仿宋_GB2312"/>
                <w:b/>
                <w:bCs/>
                <w:sz w:val="24"/>
              </w:rPr>
              <w:t>标准</w:t>
            </w:r>
          </w:p>
        </w:tc>
        <w:tc>
          <w:tcPr>
            <w:tcW w:w="1418" w:type="dxa"/>
            <w:vAlign w:val="center"/>
          </w:tcPr>
          <w:p>
            <w:pPr>
              <w:spacing w:line="560" w:lineRule="exact"/>
              <w:jc w:val="center"/>
              <w:rPr>
                <w:rFonts w:eastAsia="仿宋_GB2312"/>
                <w:b/>
                <w:bCs/>
                <w:sz w:val="24"/>
              </w:rPr>
            </w:pPr>
            <w:r>
              <w:rPr>
                <w:rFonts w:hint="eastAsia" w:eastAsia="仿宋_GB2312"/>
                <w:b/>
                <w:bCs/>
                <w:sz w:val="24"/>
              </w:rPr>
              <w:t>补偿</w:t>
            </w:r>
          </w:p>
          <w:p>
            <w:pPr>
              <w:spacing w:line="560" w:lineRule="exact"/>
              <w:jc w:val="center"/>
              <w:rPr>
                <w:rFonts w:eastAsia="仿宋_GB2312"/>
                <w:b/>
                <w:bCs/>
                <w:sz w:val="24"/>
              </w:rPr>
            </w:pPr>
            <w:r>
              <w:rPr>
                <w:rFonts w:hint="eastAsia" w:eastAsia="仿宋_GB2312"/>
                <w:b/>
                <w:bCs/>
                <w:sz w:val="24"/>
              </w:rPr>
              <w:t>金额</w:t>
            </w:r>
          </w:p>
        </w:tc>
        <w:tc>
          <w:tcPr>
            <w:tcW w:w="992" w:type="dxa"/>
            <w:vAlign w:val="center"/>
          </w:tcPr>
          <w:p>
            <w:pPr>
              <w:spacing w:line="560" w:lineRule="exact"/>
              <w:jc w:val="center"/>
              <w:rPr>
                <w:rFonts w:eastAsia="仿宋_GB2312"/>
                <w:b/>
                <w:bCs/>
                <w:sz w:val="24"/>
              </w:rPr>
            </w:pPr>
            <w:r>
              <w:rPr>
                <w:rFonts w:hint="eastAsia" w:eastAsia="仿宋_GB2312"/>
                <w:b/>
                <w:bCs/>
                <w:sz w:val="24"/>
              </w:rPr>
              <w:t>补偿</w:t>
            </w:r>
          </w:p>
          <w:p>
            <w:pPr>
              <w:spacing w:line="560" w:lineRule="exact"/>
              <w:jc w:val="center"/>
              <w:rPr>
                <w:rFonts w:eastAsia="仿宋_GB2312"/>
                <w:b/>
                <w:bCs/>
                <w:sz w:val="24"/>
              </w:rPr>
            </w:pPr>
            <w:r>
              <w:rPr>
                <w:rFonts w:hint="eastAsia" w:eastAsia="仿宋_GB2312"/>
                <w:b/>
                <w:bCs/>
                <w:sz w:val="24"/>
              </w:rPr>
              <w:t>标准</w:t>
            </w:r>
          </w:p>
        </w:tc>
        <w:tc>
          <w:tcPr>
            <w:tcW w:w="1418" w:type="dxa"/>
            <w:vAlign w:val="center"/>
          </w:tcPr>
          <w:p>
            <w:pPr>
              <w:spacing w:line="560" w:lineRule="exact"/>
              <w:jc w:val="center"/>
              <w:rPr>
                <w:rFonts w:eastAsia="仿宋_GB2312"/>
                <w:b/>
                <w:bCs/>
                <w:sz w:val="24"/>
              </w:rPr>
            </w:pPr>
            <w:r>
              <w:rPr>
                <w:rFonts w:hint="eastAsia" w:eastAsia="仿宋_GB2312"/>
                <w:b/>
                <w:bCs/>
                <w:sz w:val="24"/>
              </w:rPr>
              <w:t>补偿</w:t>
            </w:r>
          </w:p>
          <w:p>
            <w:pPr>
              <w:spacing w:line="560" w:lineRule="exact"/>
              <w:jc w:val="center"/>
              <w:rPr>
                <w:rFonts w:eastAsia="仿宋_GB2312"/>
                <w:b/>
                <w:bCs/>
                <w:sz w:val="24"/>
              </w:rPr>
            </w:pPr>
            <w:r>
              <w:rPr>
                <w:rFonts w:hint="eastAsia" w:eastAsia="仿宋_GB2312"/>
                <w:b/>
                <w:bCs/>
                <w:sz w:val="24"/>
              </w:rPr>
              <w:t>金额</w:t>
            </w:r>
          </w:p>
        </w:tc>
        <w:tc>
          <w:tcPr>
            <w:tcW w:w="1526" w:type="dxa"/>
            <w:vMerge w:val="continue"/>
            <w:vAlign w:val="center"/>
          </w:tcPr>
          <w:p>
            <w:pPr>
              <w:spacing w:line="560" w:lineRule="exact"/>
              <w:jc w:val="center"/>
              <w:rPr>
                <w:rFonts w:eastAsia="仿宋_GB2312"/>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1418" w:type="dxa"/>
            <w:vAlign w:val="center"/>
          </w:tcPr>
          <w:p>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lang w:eastAsia="zh-CN"/>
              </w:rPr>
              <w:t>万顷沙</w:t>
            </w:r>
            <w:r>
              <w:rPr>
                <w:rFonts w:hint="eastAsia" w:ascii="仿宋_GB2312" w:hAnsi="仿宋_GB2312" w:eastAsia="仿宋_GB2312" w:cs="仿宋_GB2312"/>
                <w:sz w:val="24"/>
              </w:rPr>
              <w:t>镇</w:t>
            </w:r>
            <w:r>
              <w:rPr>
                <w:rFonts w:hint="eastAsia" w:ascii="仿宋_GB2312" w:hAnsi="仿宋_GB2312" w:eastAsia="仿宋_GB2312" w:cs="仿宋_GB2312"/>
                <w:sz w:val="24"/>
                <w:lang w:eastAsia="zh-CN"/>
              </w:rPr>
              <w:t>沙尾一</w:t>
            </w:r>
            <w:r>
              <w:rPr>
                <w:rFonts w:hint="eastAsia" w:ascii="仿宋_GB2312" w:hAnsi="仿宋_GB2312" w:eastAsia="仿宋_GB2312" w:cs="仿宋_GB2312"/>
                <w:sz w:val="24"/>
              </w:rPr>
              <w:t>经济联合社</w:t>
            </w:r>
          </w:p>
        </w:tc>
        <w:tc>
          <w:tcPr>
            <w:tcW w:w="1276" w:type="dxa"/>
            <w:vAlign w:val="center"/>
          </w:tcPr>
          <w:p>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农用地</w:t>
            </w:r>
          </w:p>
        </w:tc>
        <w:tc>
          <w:tcPr>
            <w:tcW w:w="1134" w:type="dxa"/>
            <w:vAlign w:val="center"/>
          </w:tcPr>
          <w:p>
            <w:pPr>
              <w:spacing w:line="400" w:lineRule="exact"/>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0.1267</w:t>
            </w:r>
          </w:p>
        </w:tc>
        <w:tc>
          <w:tcPr>
            <w:tcW w:w="992" w:type="dxa"/>
            <w:vAlign w:val="center"/>
          </w:tcPr>
          <w:p>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197.25</w:t>
            </w:r>
          </w:p>
        </w:tc>
        <w:tc>
          <w:tcPr>
            <w:tcW w:w="1418" w:type="dxa"/>
            <w:vAlign w:val="center"/>
          </w:tcPr>
          <w:p>
            <w:pPr>
              <w:spacing w:line="400" w:lineRule="exact"/>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24.9916</w:t>
            </w:r>
          </w:p>
        </w:tc>
        <w:tc>
          <w:tcPr>
            <w:tcW w:w="992" w:type="dxa"/>
            <w:vAlign w:val="center"/>
          </w:tcPr>
          <w:p>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197.25</w:t>
            </w:r>
          </w:p>
        </w:tc>
        <w:tc>
          <w:tcPr>
            <w:tcW w:w="1418" w:type="dxa"/>
            <w:vAlign w:val="center"/>
          </w:tcPr>
          <w:p>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lang w:val="en-US" w:eastAsia="zh-CN"/>
              </w:rPr>
              <w:t>24.9916</w:t>
            </w:r>
          </w:p>
        </w:tc>
        <w:tc>
          <w:tcPr>
            <w:tcW w:w="1526" w:type="dxa"/>
            <w:vAlign w:val="center"/>
          </w:tcPr>
          <w:p>
            <w:pPr>
              <w:spacing w:line="400" w:lineRule="exact"/>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49.9832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trPr>
        <w:tc>
          <w:tcPr>
            <w:tcW w:w="8648" w:type="dxa"/>
            <w:gridSpan w:val="7"/>
            <w:vAlign w:val="center"/>
          </w:tcPr>
          <w:p>
            <w:pPr>
              <w:spacing w:line="40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土地补偿费和安置补偿费合计</w:t>
            </w:r>
          </w:p>
        </w:tc>
        <w:tc>
          <w:tcPr>
            <w:tcW w:w="1526" w:type="dxa"/>
            <w:vAlign w:val="center"/>
          </w:tcPr>
          <w:p>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lang w:val="en-US" w:eastAsia="zh-CN"/>
              </w:rPr>
              <w:t>49.9832</w:t>
            </w:r>
          </w:p>
        </w:tc>
      </w:tr>
    </w:tbl>
    <w:p>
      <w:pPr>
        <w:spacing w:beforeLines="5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涉及房屋拆迁的，按照广州市南沙区人民政府有关规定的标准进行补偿安置。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三、青苗补偿费及地上附着物补偿费。</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sz w:val="32"/>
          <w:szCs w:val="32"/>
        </w:rPr>
        <w:t>征地范围内的青苗补偿费及地上附着物补偿费等其他补偿费用按政府有关规定进行补偿。</w:t>
      </w:r>
    </w:p>
    <w:p>
      <w:pPr>
        <w:spacing w:line="560" w:lineRule="exact"/>
        <w:ind w:left="640"/>
        <w:rPr>
          <w:rFonts w:ascii="仿宋_GB2312" w:hAnsi="仿宋_GB2312" w:eastAsia="仿宋_GB2312" w:cs="仿宋_GB2312"/>
          <w:sz w:val="32"/>
          <w:szCs w:val="32"/>
        </w:rPr>
      </w:pPr>
      <w:r>
        <w:rPr>
          <w:rFonts w:hint="eastAsia" w:ascii="仿宋_GB2312" w:hAnsi="仿宋_GB2312" w:eastAsia="仿宋_GB2312" w:cs="仿宋_GB2312"/>
          <w:sz w:val="32"/>
          <w:szCs w:val="32"/>
        </w:rPr>
        <w:t>四、安置措施情况</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为妥善安置被征地农民，切实解决被征地农民的生产生活出路，在保证货币安置落实的同时，按实际征地面积10%计算留用地给被征地村集体，留用地兑现方式为实地留地。</w:t>
      </w:r>
    </w:p>
    <w:p>
      <w:pPr>
        <w:spacing w:line="560" w:lineRule="exact"/>
        <w:rPr>
          <w:rFonts w:ascii="仿宋_GB2312" w:hAnsi="仿宋_GB2312" w:eastAsia="仿宋_GB2312" w:cs="仿宋_GB2312"/>
          <w:strike/>
          <w:color w:val="000000"/>
          <w:sz w:val="32"/>
          <w:szCs w:val="32"/>
        </w:rPr>
      </w:pPr>
    </w:p>
    <w:p>
      <w:pPr>
        <w:spacing w:line="560" w:lineRule="exact"/>
        <w:ind w:firstLine="640"/>
        <w:rPr>
          <w:rFonts w:ascii="仿宋_GB2312" w:hAnsi="仿宋_GB2312" w:eastAsia="仿宋_GB2312" w:cs="仿宋_GB2312"/>
          <w:sz w:val="32"/>
          <w:szCs w:val="32"/>
        </w:rPr>
      </w:pPr>
    </w:p>
    <w:p>
      <w:pPr>
        <w:spacing w:line="560" w:lineRule="exact"/>
        <w:ind w:firstLine="64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广州市规划和自然资源局南沙区分局</w:t>
      </w:r>
    </w:p>
    <w:p>
      <w:pPr>
        <w:spacing w:line="560" w:lineRule="exact"/>
        <w:ind w:firstLine="64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2021年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日</w:t>
      </w: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CABF4B4"/>
    <w:multiLevelType w:val="singleLevel"/>
    <w:tmpl w:val="FCABF4B4"/>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revisionView w:markup="0"/>
  <w:documentProtection w:edit="trackedChange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210150B2"/>
    <w:rsid w:val="000D2F24"/>
    <w:rsid w:val="00223390"/>
    <w:rsid w:val="00294CB4"/>
    <w:rsid w:val="003F766C"/>
    <w:rsid w:val="00580B09"/>
    <w:rsid w:val="00915A64"/>
    <w:rsid w:val="00CD01D1"/>
    <w:rsid w:val="03922815"/>
    <w:rsid w:val="063B63D8"/>
    <w:rsid w:val="07577FFE"/>
    <w:rsid w:val="09DE0562"/>
    <w:rsid w:val="0A4C79D1"/>
    <w:rsid w:val="0A984BB5"/>
    <w:rsid w:val="11C12C43"/>
    <w:rsid w:val="12575356"/>
    <w:rsid w:val="125E66E4"/>
    <w:rsid w:val="130A3A05"/>
    <w:rsid w:val="1ADD6614"/>
    <w:rsid w:val="1B4F011F"/>
    <w:rsid w:val="1B673888"/>
    <w:rsid w:val="1C8054A9"/>
    <w:rsid w:val="1EBB0A1A"/>
    <w:rsid w:val="1EE515F2"/>
    <w:rsid w:val="1F56012C"/>
    <w:rsid w:val="1FA31BDA"/>
    <w:rsid w:val="1FE82ACD"/>
    <w:rsid w:val="210150B2"/>
    <w:rsid w:val="212E1977"/>
    <w:rsid w:val="23696C97"/>
    <w:rsid w:val="30E07EBD"/>
    <w:rsid w:val="32A2114A"/>
    <w:rsid w:val="32EB1476"/>
    <w:rsid w:val="32FF3174"/>
    <w:rsid w:val="33086A15"/>
    <w:rsid w:val="36D861B6"/>
    <w:rsid w:val="37E943F9"/>
    <w:rsid w:val="3825442F"/>
    <w:rsid w:val="3837515E"/>
    <w:rsid w:val="38D96215"/>
    <w:rsid w:val="3B225C51"/>
    <w:rsid w:val="3BD74C8E"/>
    <w:rsid w:val="3E104487"/>
    <w:rsid w:val="3E952BDE"/>
    <w:rsid w:val="40C31C84"/>
    <w:rsid w:val="444F55DD"/>
    <w:rsid w:val="47557582"/>
    <w:rsid w:val="477A0BC3"/>
    <w:rsid w:val="4B955B8E"/>
    <w:rsid w:val="4E1C1FB4"/>
    <w:rsid w:val="4E63115A"/>
    <w:rsid w:val="54890697"/>
    <w:rsid w:val="59201696"/>
    <w:rsid w:val="5ACB419F"/>
    <w:rsid w:val="5D4572A0"/>
    <w:rsid w:val="625202CE"/>
    <w:rsid w:val="65C14135"/>
    <w:rsid w:val="69E60B36"/>
    <w:rsid w:val="6AAE27AE"/>
    <w:rsid w:val="6B431148"/>
    <w:rsid w:val="6B511AB7"/>
    <w:rsid w:val="6BD3085B"/>
    <w:rsid w:val="6C4E6E63"/>
    <w:rsid w:val="6F3516F0"/>
    <w:rsid w:val="6FE54EC4"/>
    <w:rsid w:val="70691651"/>
    <w:rsid w:val="72251067"/>
    <w:rsid w:val="74BA06CD"/>
    <w:rsid w:val="755961EB"/>
    <w:rsid w:val="75E654F2"/>
    <w:rsid w:val="766F4918"/>
    <w:rsid w:val="783A38D3"/>
    <w:rsid w:val="797A667D"/>
    <w:rsid w:val="79BF0534"/>
    <w:rsid w:val="7A1E525A"/>
    <w:rsid w:val="7C32323F"/>
    <w:rsid w:val="7D5316BF"/>
    <w:rsid w:val="7D9760D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5"/>
    <w:qFormat/>
    <w:uiPriority w:val="0"/>
    <w:rPr>
      <w:sz w:val="18"/>
      <w:szCs w:val="18"/>
    </w:rPr>
  </w:style>
  <w:style w:type="character" w:customStyle="1" w:styleId="5">
    <w:name w:val="批注框文本 Char"/>
    <w:basedOn w:val="3"/>
    <w:link w:val="2"/>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518</Words>
  <Characters>163</Characters>
  <Lines>1</Lines>
  <Paragraphs>1</Paragraphs>
  <TotalTime>4</TotalTime>
  <ScaleCrop>false</ScaleCrop>
  <LinksUpToDate>false</LinksUpToDate>
  <CharactersWithSpaces>680</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2021-04-14T08:32:00Z</dcterms:created>
  <dc:creator>NTKO</dc:creator>
  <cp:lastModifiedBy>习惯想你@依赖你</cp:lastModifiedBy>
  <cp:lastPrinted>2021-11-24T01:36:00Z</cp:lastPrinted>
  <dcterms:modified xsi:type="dcterms:W3CDTF">2022-09-23T01:39:21Z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y fmtid="{D5CDD505-2E9C-101B-9397-08002B2CF9AE}" pid="3" name="ICV">
    <vt:lpwstr>EB4D5E5DB51F455FB9DCA15AD880F079</vt:lpwstr>
  </property>
</Properties>
</file>