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both"/>
        <w:textAlignment w:val="auto"/>
        <w:rPr>
          <w:rFonts w:hint="eastAsia" w:ascii="方正小标宋_GBK" w:hAnsi="方正小标宋_GBK" w:eastAsia="方正小标宋_GBK" w:cs="方正小标宋_GBK"/>
          <w:b w:val="0"/>
          <w:bCs/>
          <w:color w:val="000000"/>
          <w:sz w:val="44"/>
          <w:szCs w:val="44"/>
          <w:lang w:val="en-US" w:eastAsia="zh-CN"/>
        </w:rPr>
      </w:pPr>
    </w:p>
    <w:p>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关于</w:t>
      </w:r>
      <w:r>
        <w:rPr>
          <w:rFonts w:hint="eastAsia" w:ascii="方正小标宋简体" w:hAnsi="方正小标宋简体" w:eastAsia="方正小标宋简体" w:cs="方正小标宋简体"/>
          <w:color w:val="auto"/>
          <w:sz w:val="44"/>
          <w:szCs w:val="44"/>
          <w:lang w:val="en-US" w:eastAsia="zh-CN"/>
        </w:rPr>
        <w:t>广州市花都区2022年度第四十九批次城镇建设用地（芙蓉大道东二地块〔二期〕）</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征地项目的被征地农民养老保障方案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下称劳社部发〔2007〕14号）和《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广州市花都区2022年度第四十九批次城镇建设用地（芙蓉大道东二地块〔二期〕）</w:t>
      </w:r>
      <w:r>
        <w:rPr>
          <w:rFonts w:hint="eastAsia" w:ascii="仿宋_GB2312" w:hAnsi="仿宋_GB2312" w:eastAsia="仿宋_GB2312" w:cs="仿宋_GB2312"/>
          <w:color w:val="auto"/>
          <w:lang w:val="en-US" w:eastAsia="zh-CN"/>
        </w:rPr>
        <w:t>征地项目被征地农民养老保障方案如下：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广州市花都区2022年度第四十九批次城镇建设用地（芙蓉大道东二地块〔二期〕）</w:t>
      </w:r>
      <w:r>
        <w:rPr>
          <w:rFonts w:hint="eastAsia" w:ascii="仿宋_GB2312" w:hAnsi="仿宋_GB2312" w:eastAsia="仿宋_GB2312" w:cs="仿宋_GB2312"/>
          <w:color w:val="auto"/>
          <w:lang w:val="en-US" w:eastAsia="zh-CN"/>
        </w:rPr>
        <w:t>征地项目涉及的被征地农民实施社会养老保障。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该用地项目征收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花城街东边村</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的</w:t>
      </w:r>
      <w:r>
        <w:rPr>
          <w:rFonts w:hint="eastAsia" w:ascii="仿宋_GB2312" w:hAnsi="仿宋_GB2312" w:cs="仿宋_GB2312"/>
          <w:i w:val="0"/>
          <w:caps w:val="0"/>
          <w:color w:val="auto"/>
          <w:spacing w:val="0"/>
          <w:kern w:val="0"/>
          <w:sz w:val="32"/>
          <w:szCs w:val="32"/>
          <w:shd w:val="clear" w:color="auto" w:fill="FFFFFF"/>
          <w:lang w:val="en-US" w:eastAsia="zh-CN" w:bidi="ar"/>
        </w:rPr>
        <w:t>土地面积24.7635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w:t>
      </w:r>
      <w:r>
        <w:rPr>
          <w:rFonts w:hint="eastAsia" w:ascii="仿宋_GB2312" w:hAnsi="仿宋_GB2312" w:cs="仿宋_GB2312"/>
        </w:rPr>
        <w:t>地双</w:t>
      </w:r>
      <w:r>
        <w:rPr>
          <w:rFonts w:hint="eastAsia" w:ascii="仿宋_GB2312" w:hAnsi="仿宋_GB2312" w:cs="仿宋_GB2312"/>
          <w:color w:val="auto"/>
        </w:rPr>
        <w:t>方</w:t>
      </w:r>
      <w:r>
        <w:rPr>
          <w:rFonts w:hint="eastAsia" w:ascii="仿宋_GB2312" w:hAnsi="仿宋_GB2312" w:cs="仿宋_GB2312"/>
          <w:color w:val="auto"/>
          <w:lang w:eastAsia="zh-CN"/>
        </w:rPr>
        <w:t>未签订</w:t>
      </w:r>
      <w:r>
        <w:rPr>
          <w:rFonts w:hint="eastAsia" w:ascii="仿宋_GB2312" w:hAnsi="仿宋_GB2312" w:cs="仿宋_GB2312"/>
          <w:color w:val="auto"/>
          <w:kern w:val="2"/>
          <w:highlight w:val="none"/>
          <w:shd w:val="clear" w:color="auto" w:fill="auto"/>
          <w:lang w:bidi="ar-SA"/>
        </w:rPr>
        <w:t>征地补偿安置协议</w:t>
      </w:r>
      <w:r>
        <w:rPr>
          <w:rFonts w:hint="eastAsia" w:ascii="仿宋_GB2312" w:hAnsi="仿宋_GB2312" w:cs="仿宋_GB2312"/>
          <w:color w:val="auto"/>
          <w:kern w:val="2"/>
          <w:shd w:val="clear" w:color="auto" w:fill="auto"/>
          <w:lang w:eastAsia="zh-CN" w:bidi="ar-SA"/>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2.1328</w:t>
      </w:r>
      <w:r>
        <w:rPr>
          <w:rFonts w:hint="eastAsia" w:ascii="仿宋_GB2312" w:hAnsi="仿宋_GB2312" w:cs="仿宋_GB2312"/>
          <w:color w:val="auto"/>
          <w:kern w:val="2"/>
          <w:shd w:val="clear" w:color="auto" w:fill="auto"/>
          <w:lang w:bidi="ar-SA"/>
        </w:rPr>
        <w:t>万/亩的标准计提（即征地补偿安置方案制定时，我区每亩平均征收农用地综合区片地价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万元/亩乘以对应广州市第三级第五档计提比例</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kern w:val="2"/>
          <w:shd w:val="clear" w:color="auto" w:fill="auto"/>
          <w:lang w:val="en-US" w:eastAsia="zh-CN" w:bidi="ar-SA"/>
        </w:rPr>
        <w:t>0</w:t>
      </w:r>
      <w:r>
        <w:rPr>
          <w:rFonts w:hint="eastAsia" w:ascii="仿宋_GB2312" w:hAnsi="仿宋_GB2312" w:cs="仿宋_GB2312"/>
          <w:color w:val="auto"/>
          <w:kern w:val="2"/>
          <w:shd w:val="clear" w:color="auto" w:fill="auto"/>
          <w:lang w:bidi="ar-SA"/>
        </w:rPr>
        <w:t>亩属于农村集体经济组织留用地，按规定不计提征地社保费，需计提资金共</w:t>
      </w:r>
      <w:r>
        <w:rPr>
          <w:rFonts w:hint="eastAsia" w:ascii="仿宋_GB2312" w:hAnsi="仿宋_GB2312" w:cs="仿宋_GB2312"/>
          <w:color w:val="auto"/>
          <w:kern w:val="2"/>
          <w:shd w:val="clear" w:color="auto" w:fill="auto"/>
          <w:lang w:val="en-US" w:eastAsia="zh-CN" w:bidi="ar-SA"/>
        </w:rPr>
        <w:t>52.83</w:t>
      </w:r>
      <w:r>
        <w:rPr>
          <w:rFonts w:hint="eastAsia" w:ascii="仿宋_GB2312" w:hAnsi="仿宋_GB2312" w:cs="仿宋_GB2312"/>
          <w:color w:val="auto"/>
          <w:kern w:val="2"/>
          <w:shd w:val="clear" w:color="auto" w:fill="auto"/>
          <w:lang w:bidi="ar-SA"/>
        </w:rPr>
        <w:t>万元由征地主体（用地单位）一次性预存入我区人力资源社会保障部门开设的“收缴被征地农民养老保障资金过渡户”，计入征地成本，纳入工程项目概算。</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送人社部门办理社保手续。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 xml:space="preserve">征地土地和养老保障情况一览表 </w:t>
      </w:r>
      <w:r>
        <w:rPr>
          <w:rFonts w:hint="eastAsia" w:ascii="仿宋_GB2312" w:hAnsi="仿宋_GB2312" w:eastAsia="仿宋_GB2312" w:cs="仿宋_GB2312"/>
          <w:color w:val="auto"/>
          <w:sz w:val="32"/>
          <w:szCs w:val="32"/>
        </w:rPr>
        <w:t xml:space="preserve"> </w:t>
      </w:r>
    </w:p>
    <w:p>
      <w:pPr>
        <w:pStyle w:val="2"/>
        <w:ind w:firstLine="1600" w:firstLineChars="500"/>
        <w:rPr>
          <w:rFonts w:hint="eastAsia" w:eastAsia="仿宋_GB2312"/>
          <w:color w:val="auto"/>
          <w:sz w:val="32"/>
          <w:szCs w:val="32"/>
          <w:lang w:val="en-US" w:eastAsia="zh-CN"/>
        </w:rPr>
      </w:pPr>
      <w:r>
        <w:rPr>
          <w:rFonts w:ascii="仿宋_GB2312" w:hAnsi="仿宋_GB2312" w:cs="仿宋_GB2312"/>
          <w:color w:val="auto"/>
          <w:sz w:val="32"/>
          <w:szCs w:val="32"/>
        </w:rPr>
        <w:t>2</w:t>
      </w:r>
      <w:r>
        <w:rPr>
          <w:rFonts w:hint="eastAsia" w:ascii="仿宋_GB2312" w:hAnsi="仿宋_GB2312" w:cs="仿宋_GB2312"/>
          <w:color w:val="auto"/>
          <w:sz w:val="32"/>
          <w:szCs w:val="32"/>
          <w:lang w:val="en-US" w:eastAsia="zh-CN"/>
        </w:rPr>
        <w:t>.</w:t>
      </w:r>
      <w:r>
        <w:rPr>
          <w:rFonts w:ascii="仿宋_GB2312" w:hAnsi="仿宋_GB2312" w:cs="仿宋_GB2312"/>
          <w:color w:val="auto"/>
          <w:sz w:val="32"/>
          <w:szCs w:val="32"/>
        </w:rPr>
        <w:t>村情况证明</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2022</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9</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30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附</w:t>
      </w:r>
      <w:r>
        <w:rPr>
          <w:rFonts w:hint="eastAsia" w:ascii="黑体" w:hAnsi="黑体" w:eastAsia="黑体" w:cs="黑体"/>
          <w:b w:val="0"/>
          <w:bCs w:val="0"/>
          <w:sz w:val="32"/>
          <w:szCs w:val="32"/>
          <w:lang w:eastAsia="zh-CN"/>
        </w:rPr>
        <w:t>件</w:t>
      </w:r>
      <w:r>
        <w:rPr>
          <w:rFonts w:hint="eastAsia" w:ascii="黑体" w:hAnsi="黑体" w:eastAsia="黑体" w:cs="黑体"/>
          <w:b w:val="0"/>
          <w:bCs w:val="0"/>
          <w:sz w:val="32"/>
          <w:szCs w:val="32"/>
          <w:lang w:val="en-US" w:eastAsia="zh-CN"/>
        </w:rPr>
        <w:t>1</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ascii="仿宋_GB2312"/>
          <w:sz w:val="28"/>
          <w:szCs w:val="28"/>
        </w:rPr>
      </w:pPr>
      <w:r>
        <w:rPr>
          <w:rFonts w:hint="eastAsia" w:ascii="仿宋_GB2312"/>
          <w:sz w:val="28"/>
          <w:szCs w:val="28"/>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花城街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东边村经济联合社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18.8820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40.28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花城街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东边村西成经济合作社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5.8815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12.55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bidi="ar-SA"/>
              </w:rPr>
              <w:t>24.7635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52.83</w:t>
            </w:r>
          </w:p>
        </w:tc>
      </w:tr>
    </w:tbl>
    <w:p>
      <w:pPr>
        <w:spacing w:line="320" w:lineRule="exact"/>
        <w:ind w:right="210"/>
        <w:jc w:val="left"/>
        <w:rPr>
          <w:sz w:val="24"/>
          <w:szCs w:val="28"/>
        </w:rPr>
      </w:pPr>
      <w:r>
        <w:rPr>
          <w:rFonts w:hint="eastAsia"/>
          <w:sz w:val="24"/>
          <w:szCs w:val="28"/>
        </w:rPr>
        <w:t>说明：</w:t>
      </w:r>
    </w:p>
    <w:p>
      <w:pPr>
        <w:spacing w:line="320" w:lineRule="exact"/>
        <w:ind w:right="210"/>
        <w:jc w:val="left"/>
        <w:rPr>
          <w:rFonts w:hint="eastAsia"/>
          <w:sz w:val="24"/>
          <w:szCs w:val="28"/>
        </w:rPr>
      </w:pPr>
      <w:r>
        <w:rPr>
          <w:rFonts w:hint="eastAsia"/>
          <w:sz w:val="24"/>
          <w:szCs w:val="28"/>
        </w:rPr>
        <w:t>1、</w:t>
      </w:r>
      <w:r>
        <w:rPr>
          <w:sz w:val="24"/>
          <w:szCs w:val="28"/>
        </w:rPr>
        <w:t>征地社保费计提标准</w:t>
      </w:r>
      <w:r>
        <w:rPr>
          <w:rFonts w:hint="eastAsia"/>
          <w:sz w:val="24"/>
          <w:szCs w:val="28"/>
          <w:lang w:val="en-US" w:eastAsia="zh-CN"/>
        </w:rPr>
        <w:t>2.1328</w:t>
      </w:r>
      <w:r>
        <w:rPr>
          <w:sz w:val="24"/>
          <w:szCs w:val="28"/>
        </w:rPr>
        <w:t>万元</w:t>
      </w:r>
      <w:r>
        <w:rPr>
          <w:rFonts w:hint="eastAsia"/>
          <w:sz w:val="24"/>
          <w:szCs w:val="28"/>
        </w:rPr>
        <w:t>/亩，征地社保费计算结果向上取整，精确到百元。</w:t>
      </w:r>
    </w:p>
    <w:p>
      <w:pPr>
        <w:spacing w:line="320" w:lineRule="exact"/>
        <w:ind w:right="210"/>
        <w:jc w:val="left"/>
        <w:rPr>
          <w:sz w:val="24"/>
          <w:szCs w:val="28"/>
        </w:rPr>
      </w:pPr>
      <w:r>
        <w:rPr>
          <w:sz w:val="24"/>
          <w:szCs w:val="28"/>
        </w:rPr>
        <w:t>2、被征收土地属于农村集体经济组织留用地的，不计提征地社保费。</w:t>
      </w:r>
    </w:p>
    <w:p>
      <w:r>
        <w:br w:type="page"/>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附</w:t>
      </w:r>
      <w:r>
        <w:rPr>
          <w:rFonts w:hint="eastAsia" w:ascii="黑体" w:hAnsi="黑体" w:eastAsia="黑体" w:cs="黑体"/>
          <w:b w:val="0"/>
          <w:bCs w:val="0"/>
          <w:sz w:val="32"/>
          <w:szCs w:val="32"/>
          <w:lang w:eastAsia="zh-CN"/>
        </w:rPr>
        <w:t>件</w:t>
      </w:r>
      <w:r>
        <w:rPr>
          <w:rFonts w:hint="eastAsia" w:ascii="黑体" w:hAnsi="黑体" w:eastAsia="黑体" w:cs="黑体"/>
          <w:b w:val="0"/>
          <w:bCs w:val="0"/>
          <w:sz w:val="32"/>
          <w:szCs w:val="32"/>
          <w:lang w:val="en-US" w:eastAsia="zh-CN"/>
        </w:rPr>
        <w:t>2</w:t>
      </w:r>
    </w:p>
    <w:p>
      <w:pPr>
        <w:widowControl/>
        <w:shd w:val="clear" w:color="auto" w:fill="FFFFFF"/>
        <w:spacing w:before="289" w:beforeLines="50" w:after="289" w:afterLines="50" w:line="580" w:lineRule="exact"/>
        <w:jc w:val="center"/>
        <w:rPr>
          <w:rFonts w:hint="eastAsia" w:ascii="方正小标宋简体" w:hAnsi="方正小标宋简体" w:eastAsia="方正小标宋简体" w:cs="方正小标宋简体"/>
          <w:color w:val="000000"/>
          <w:spacing w:val="-6"/>
          <w:kern w:val="0"/>
          <w:sz w:val="36"/>
          <w:szCs w:val="36"/>
          <w:shd w:val="clear" w:color="auto" w:fill="FFFFFF"/>
          <w:lang w:bidi="ar"/>
        </w:rPr>
      </w:pPr>
      <w:r>
        <w:rPr>
          <w:rFonts w:hint="eastAsia" w:ascii="方正小标宋简体" w:hAnsi="方正小标宋简体" w:eastAsia="方正小标宋简体" w:cs="方正小标宋简体"/>
          <w:color w:val="000000"/>
          <w:spacing w:val="-6"/>
          <w:kern w:val="0"/>
          <w:sz w:val="36"/>
          <w:szCs w:val="36"/>
          <w:shd w:val="clear" w:color="auto" w:fill="FFFFFF"/>
          <w:lang w:bidi="ar"/>
        </w:rPr>
        <w:t>项目涉及被征地村情况</w:t>
      </w:r>
    </w:p>
    <w:p>
      <w:pPr>
        <w:spacing w:beforeLines="0" w:afterLines="0" w:line="400" w:lineRule="atLeast"/>
        <w:ind w:left="230"/>
        <w:jc w:val="left"/>
        <w:rPr>
          <w:rFonts w:hint="eastAsia" w:ascii="仿宋_GB2312" w:hAnsi="仿宋_GB2312" w:cs="仿宋_GB2312"/>
          <w:color w:val="000000"/>
          <w:kern w:val="0"/>
          <w:sz w:val="28"/>
          <w:szCs w:val="28"/>
          <w:shd w:val="clear" w:color="auto" w:fill="FFFFFF"/>
          <w:lang w:val="zh-CN" w:bidi="ar"/>
        </w:rPr>
      </w:pPr>
      <w:r>
        <w:rPr>
          <w:rFonts w:hint="eastAsia" w:ascii="仿宋_GB2312" w:hAnsi="仿宋_GB2312" w:cs="仿宋_GB2312"/>
          <w:color w:val="000000"/>
          <w:kern w:val="0"/>
          <w:sz w:val="28"/>
          <w:szCs w:val="28"/>
          <w:shd w:val="clear" w:color="auto" w:fill="FFFFFF"/>
          <w:lang w:bidi="ar"/>
        </w:rPr>
        <w:t>征地项目名称：</w:t>
      </w:r>
      <w:r>
        <w:rPr>
          <w:rFonts w:hint="eastAsia" w:ascii="仿宋_GB2312" w:hAnsi="仿宋_GB2312" w:cs="仿宋_GB2312"/>
          <w:color w:val="000000"/>
          <w:kern w:val="0"/>
          <w:sz w:val="28"/>
          <w:szCs w:val="28"/>
          <w:shd w:val="clear" w:color="auto" w:fill="FFFFFF"/>
          <w:lang w:val="zh-CN" w:bidi="ar"/>
        </w:rPr>
        <w:t>广州市花都区2022年度第四十九批次城镇建设用地（芙蓉大道东二地块（二期））</w:t>
      </w:r>
    </w:p>
    <w:p>
      <w:pPr>
        <w:spacing w:beforeLines="0" w:afterLines="0" w:line="400" w:lineRule="atLeast"/>
        <w:ind w:left="230"/>
        <w:jc w:val="left"/>
        <w:rPr>
          <w:rFonts w:hint="eastAsia" w:ascii="仿宋_GB2312" w:hAnsi="仿宋_GB2312" w:cs="仿宋_GB2312"/>
          <w:color w:val="000000"/>
          <w:kern w:val="0"/>
          <w:sz w:val="28"/>
          <w:szCs w:val="28"/>
          <w:shd w:val="clear" w:color="auto" w:fill="FFFFFF"/>
          <w:lang w:bidi="ar"/>
        </w:rPr>
      </w:pPr>
      <w:r>
        <w:rPr>
          <w:rFonts w:hint="eastAsia" w:ascii="仿宋_GB2312" w:hAnsi="仿宋_GB2312" w:cs="仿宋_GB2312"/>
          <w:color w:val="000000"/>
          <w:kern w:val="0"/>
          <w:sz w:val="28"/>
          <w:szCs w:val="28"/>
          <w:shd w:val="clear" w:color="auto" w:fill="FFFFFF"/>
          <w:lang w:bidi="ar"/>
        </w:rPr>
        <w:t>用地单位：广州市花都区土地</w:t>
      </w:r>
      <w:r>
        <w:rPr>
          <w:rFonts w:hint="eastAsia" w:ascii="仿宋_GB2312" w:hAnsi="仿宋_GB2312" w:cs="仿宋_GB2312"/>
          <w:color w:val="000000"/>
          <w:kern w:val="0"/>
          <w:sz w:val="28"/>
          <w:szCs w:val="28"/>
          <w:shd w:val="clear" w:color="auto" w:fill="FFFFFF"/>
          <w:lang w:eastAsia="zh-CN" w:bidi="ar"/>
        </w:rPr>
        <w:t>开发</w:t>
      </w:r>
      <w:r>
        <w:rPr>
          <w:rFonts w:hint="eastAsia" w:ascii="仿宋_GB2312" w:hAnsi="仿宋_GB2312" w:cs="仿宋_GB2312"/>
          <w:color w:val="000000"/>
          <w:kern w:val="0"/>
          <w:sz w:val="28"/>
          <w:szCs w:val="28"/>
          <w:shd w:val="clear" w:color="auto" w:fill="FFFFFF"/>
          <w:lang w:bidi="ar"/>
        </w:rPr>
        <w:t>储备中心</w:t>
      </w:r>
      <w:bookmarkStart w:id="0" w:name="_GoBack"/>
      <w:bookmarkEnd w:id="0"/>
    </w:p>
    <w:p>
      <w:pPr>
        <w:widowControl/>
        <w:shd w:val="clear" w:color="auto" w:fill="FFFFFF"/>
        <w:spacing w:line="580" w:lineRule="exact"/>
        <w:ind w:firstLine="615"/>
        <w:jc w:val="left"/>
        <w:rPr>
          <w:rFonts w:hint="default" w:ascii="仿宋_GB2312" w:hAnsi="仿宋_GB2312" w:eastAsia="仿宋_GB2312" w:cs="仿宋_GB2312"/>
          <w:color w:val="000000"/>
          <w:kern w:val="0"/>
          <w:sz w:val="28"/>
          <w:szCs w:val="28"/>
          <w:shd w:val="clear" w:color="auto" w:fill="FFFFFF"/>
          <w:lang w:val="en-US" w:eastAsia="zh-CN" w:bidi="ar"/>
        </w:rPr>
      </w:pPr>
    </w:p>
    <w:tbl>
      <w:tblPr>
        <w:tblStyle w:val="6"/>
        <w:tblW w:w="8705" w:type="dxa"/>
        <w:jc w:val="center"/>
        <w:tblLayout w:type="fixed"/>
        <w:tblCellMar>
          <w:top w:w="0" w:type="dxa"/>
          <w:left w:w="0" w:type="dxa"/>
          <w:bottom w:w="0" w:type="dxa"/>
          <w:right w:w="0" w:type="dxa"/>
        </w:tblCellMar>
      </w:tblPr>
      <w:tblGrid>
        <w:gridCol w:w="1139"/>
        <w:gridCol w:w="1884"/>
        <w:gridCol w:w="2838"/>
        <w:gridCol w:w="2844"/>
      </w:tblGrid>
      <w:tr>
        <w:tblPrEx>
          <w:tblCellMar>
            <w:top w:w="0" w:type="dxa"/>
            <w:left w:w="0" w:type="dxa"/>
            <w:bottom w:w="0" w:type="dxa"/>
            <w:right w:w="0" w:type="dxa"/>
          </w:tblCellMar>
        </w:tblPrEx>
        <w:trPr>
          <w:trHeight w:val="1545" w:hRule="atLeast"/>
          <w:jc w:val="center"/>
        </w:trPr>
        <w:tc>
          <w:tcPr>
            <w:tcW w:w="3023"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color w:val="auto"/>
                <w:kern w:val="0"/>
                <w:sz w:val="22"/>
                <w:szCs w:val="22"/>
                <w:lang w:bidi="ar-SA"/>
              </w:rPr>
            </w:pPr>
            <w:r>
              <w:rPr>
                <w:rFonts w:hint="eastAsia" w:ascii="仿宋_GB2312" w:hAnsi="仿宋_GB2312" w:eastAsia="仿宋_GB2312" w:cs="仿宋_GB2312"/>
                <w:color w:val="auto"/>
                <w:kern w:val="0"/>
                <w:sz w:val="22"/>
                <w:szCs w:val="22"/>
                <w:lang w:bidi="ar-SA"/>
              </w:rPr>
              <w:t>被征地单位</w:t>
            </w:r>
          </w:p>
        </w:tc>
        <w:tc>
          <w:tcPr>
            <w:tcW w:w="283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lang w:bidi="ar-SA"/>
              </w:rPr>
              <w:t>家庭拟被征地且属于农村集体经济成员的16岁以上人口数（人）</w:t>
            </w:r>
          </w:p>
        </w:tc>
        <w:tc>
          <w:tcPr>
            <w:tcW w:w="284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lang w:bidi="ar-SA"/>
              </w:rPr>
              <w:t>拟被征地承包户户数</w:t>
            </w:r>
          </w:p>
        </w:tc>
      </w:tr>
      <w:tr>
        <w:tblPrEx>
          <w:tblCellMar>
            <w:top w:w="0" w:type="dxa"/>
            <w:left w:w="0" w:type="dxa"/>
            <w:bottom w:w="0" w:type="dxa"/>
            <w:right w:w="0" w:type="dxa"/>
          </w:tblCellMar>
        </w:tblPrEx>
        <w:trPr>
          <w:trHeight w:val="1545" w:hRule="atLeast"/>
          <w:jc w:val="center"/>
        </w:trPr>
        <w:tc>
          <w:tcPr>
            <w:tcW w:w="1139" w:type="dxa"/>
            <w:vMerge w:val="restart"/>
            <w:tcBorders>
              <w:top w:val="single" w:color="auto" w:sz="8" w:space="0"/>
              <w:left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color w:val="auto"/>
                <w:kern w:val="0"/>
                <w:sz w:val="22"/>
                <w:szCs w:val="22"/>
                <w:shd w:val="clear" w:color="auto" w:fill="auto"/>
                <w:lang w:eastAsia="zh-CN" w:bidi="ar-SA"/>
              </w:rPr>
            </w:pPr>
            <w:r>
              <w:rPr>
                <w:rFonts w:hint="eastAsia" w:ascii="仿宋_GB2312" w:hAnsi="仿宋_GB2312" w:cs="仿宋_GB2312"/>
                <w:color w:val="auto"/>
                <w:kern w:val="0"/>
                <w:sz w:val="22"/>
                <w:szCs w:val="22"/>
                <w:shd w:val="clear" w:color="auto" w:fill="auto"/>
                <w:lang w:eastAsia="zh-CN" w:bidi="ar-SA"/>
              </w:rPr>
              <w:t>花城</w:t>
            </w:r>
            <w:r>
              <w:rPr>
                <w:rFonts w:hint="eastAsia" w:ascii="仿宋_GB2312" w:hAnsi="仿宋_GB2312" w:cs="仿宋_GB2312"/>
                <w:color w:val="auto"/>
                <w:kern w:val="0"/>
                <w:sz w:val="22"/>
                <w:szCs w:val="22"/>
                <w:shd w:val="clear" w:color="auto" w:fill="auto"/>
                <w:lang w:bidi="ar-SA"/>
              </w:rPr>
              <w:t>街</w:t>
            </w:r>
          </w:p>
          <w:p>
            <w:pPr>
              <w:widowControl/>
              <w:spacing w:line="300" w:lineRule="exact"/>
              <w:jc w:val="both"/>
              <w:rPr>
                <w:rFonts w:ascii="仿宋_GB2312" w:hAnsi="仿宋_GB2312" w:cs="仿宋_GB2312"/>
                <w:color w:val="auto"/>
                <w:kern w:val="0"/>
                <w:sz w:val="22"/>
                <w:szCs w:val="22"/>
              </w:rPr>
            </w:pPr>
          </w:p>
        </w:tc>
        <w:tc>
          <w:tcPr>
            <w:tcW w:w="1884"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ind w:left="-38" w:leftChars="-12"/>
              <w:jc w:val="center"/>
              <w:rPr>
                <w:rFonts w:ascii="仿宋_GB2312" w:hAnsi="仿宋_GB2312" w:cs="仿宋_GB2312"/>
                <w:kern w:val="0"/>
                <w:sz w:val="22"/>
                <w:szCs w:val="22"/>
                <w:lang w:bidi="ar-SA"/>
              </w:rPr>
            </w:pPr>
            <w:r>
              <w:rPr>
                <w:rFonts w:hint="eastAsia" w:ascii="仿宋_GB2312" w:hAnsi="仿宋_GB2312" w:cs="仿宋_GB2312"/>
                <w:color w:val="auto"/>
                <w:kern w:val="0"/>
                <w:sz w:val="22"/>
                <w:szCs w:val="22"/>
                <w:shd w:val="clear" w:color="auto" w:fill="auto"/>
                <w:lang w:eastAsia="zh-CN" w:bidi="ar-SA"/>
              </w:rPr>
              <w:t>东边</w:t>
            </w:r>
            <w:r>
              <w:rPr>
                <w:rFonts w:hint="eastAsia" w:ascii="仿宋_GB2312" w:hAnsi="仿宋_GB2312" w:cs="仿宋_GB2312"/>
                <w:color w:val="auto"/>
                <w:kern w:val="0"/>
                <w:sz w:val="22"/>
                <w:szCs w:val="22"/>
                <w:shd w:val="clear" w:color="auto" w:fill="auto"/>
                <w:lang w:bidi="ar-SA"/>
              </w:rPr>
              <w:t>村经济联合社</w:t>
            </w:r>
          </w:p>
        </w:tc>
        <w:tc>
          <w:tcPr>
            <w:tcW w:w="283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hint="default" w:ascii="仿宋_GB2312" w:hAnsi="仿宋_GB2312" w:eastAsia="仿宋_GB2312" w:cs="仿宋_GB2312"/>
                <w:kern w:val="0"/>
                <w:sz w:val="22"/>
                <w:szCs w:val="22"/>
                <w:lang w:val="en-US" w:eastAsia="zh-CN"/>
              </w:rPr>
            </w:pPr>
            <w:r>
              <w:rPr>
                <w:rFonts w:hint="eastAsia" w:ascii="仿宋_GB2312" w:hAnsi="仿宋_GB2312" w:cs="仿宋_GB2312"/>
                <w:kern w:val="0"/>
                <w:sz w:val="22"/>
                <w:szCs w:val="22"/>
                <w:lang w:val="en-US" w:eastAsia="zh-CN"/>
              </w:rPr>
              <w:t>3079</w:t>
            </w:r>
          </w:p>
        </w:tc>
        <w:tc>
          <w:tcPr>
            <w:tcW w:w="284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538" w:leftChars="-12" w:hanging="576" w:hangingChars="262"/>
              <w:jc w:val="center"/>
              <w:rPr>
                <w:rFonts w:hint="default" w:ascii="仿宋_GB2312" w:hAnsi="仿宋_GB2312" w:eastAsia="仿宋_GB2312" w:cs="仿宋_GB2312"/>
                <w:kern w:val="0"/>
                <w:sz w:val="22"/>
                <w:szCs w:val="22"/>
                <w:lang w:val="en-US" w:eastAsia="zh-CN" w:bidi="ar-SA"/>
              </w:rPr>
            </w:pPr>
            <w:r>
              <w:rPr>
                <w:rFonts w:hint="eastAsia" w:ascii="仿宋_GB2312" w:hAnsi="仿宋_GB2312" w:cs="仿宋_GB2312"/>
                <w:kern w:val="0"/>
                <w:sz w:val="22"/>
                <w:szCs w:val="22"/>
                <w:lang w:val="en-US" w:eastAsia="zh-CN" w:bidi="ar-SA"/>
              </w:rPr>
              <w:t>1182</w:t>
            </w:r>
          </w:p>
        </w:tc>
      </w:tr>
      <w:tr>
        <w:tblPrEx>
          <w:tblCellMar>
            <w:top w:w="0" w:type="dxa"/>
            <w:left w:w="0" w:type="dxa"/>
            <w:bottom w:w="0" w:type="dxa"/>
            <w:right w:w="0" w:type="dxa"/>
          </w:tblCellMar>
        </w:tblPrEx>
        <w:trPr>
          <w:trHeight w:val="1230" w:hRule="atLeast"/>
          <w:jc w:val="center"/>
        </w:trPr>
        <w:tc>
          <w:tcPr>
            <w:tcW w:w="1139" w:type="dxa"/>
            <w:vMerge w:val="continue"/>
            <w:tcBorders>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ascii="仿宋_GB2312" w:hAnsi="仿宋_GB2312" w:cs="仿宋_GB2312"/>
                <w:color w:val="auto"/>
                <w:kern w:val="0"/>
                <w:sz w:val="22"/>
                <w:szCs w:val="22"/>
              </w:rPr>
            </w:pPr>
          </w:p>
        </w:tc>
        <w:tc>
          <w:tcPr>
            <w:tcW w:w="1884"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ind w:left="-38" w:leftChars="-12"/>
              <w:jc w:val="center"/>
              <w:rPr>
                <w:rFonts w:hint="eastAsia" w:ascii="仿宋_GB2312" w:hAnsi="仿宋_GB2312" w:cs="仿宋_GB2312"/>
                <w:kern w:val="0"/>
                <w:sz w:val="22"/>
                <w:szCs w:val="22"/>
                <w:lang w:bidi="ar-SA"/>
              </w:rPr>
            </w:pPr>
            <w:r>
              <w:rPr>
                <w:rFonts w:hint="eastAsia" w:ascii="仿宋_GB2312" w:hAnsi="仿宋_GB2312" w:cs="仿宋_GB2312"/>
                <w:color w:val="auto"/>
                <w:kern w:val="0"/>
                <w:sz w:val="22"/>
                <w:szCs w:val="22"/>
                <w:shd w:val="clear" w:color="auto" w:fill="auto"/>
                <w:lang w:bidi="ar-SA"/>
              </w:rPr>
              <w:t>东边村西成经济合作社</w:t>
            </w:r>
          </w:p>
        </w:tc>
        <w:tc>
          <w:tcPr>
            <w:tcW w:w="283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hint="default" w:ascii="仿宋_GB2312" w:hAnsi="仿宋_GB2312" w:eastAsia="仿宋_GB2312" w:cs="仿宋_GB2312"/>
                <w:kern w:val="0"/>
                <w:sz w:val="22"/>
                <w:szCs w:val="22"/>
                <w:lang w:val="en-US" w:eastAsia="zh-CN"/>
              </w:rPr>
            </w:pPr>
            <w:r>
              <w:rPr>
                <w:rFonts w:hint="eastAsia" w:ascii="仿宋_GB2312" w:hAnsi="仿宋_GB2312" w:cs="仿宋_GB2312"/>
                <w:kern w:val="0"/>
                <w:sz w:val="22"/>
                <w:szCs w:val="22"/>
                <w:lang w:val="en-US" w:eastAsia="zh-CN"/>
              </w:rPr>
              <w:t>215</w:t>
            </w:r>
          </w:p>
        </w:tc>
        <w:tc>
          <w:tcPr>
            <w:tcW w:w="284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hint="default" w:ascii="仿宋_GB2312" w:hAnsi="仿宋_GB2312" w:eastAsia="仿宋_GB2312" w:cs="仿宋_GB2312"/>
                <w:kern w:val="0"/>
                <w:sz w:val="22"/>
                <w:szCs w:val="22"/>
                <w:lang w:val="en-US" w:eastAsia="zh-CN" w:bidi="ar-SA"/>
              </w:rPr>
            </w:pPr>
            <w:r>
              <w:rPr>
                <w:rFonts w:hint="eastAsia" w:ascii="仿宋_GB2312" w:hAnsi="仿宋_GB2312" w:cs="仿宋_GB2312"/>
                <w:kern w:val="0"/>
                <w:sz w:val="22"/>
                <w:szCs w:val="22"/>
                <w:lang w:val="en-US" w:eastAsia="zh-CN" w:bidi="ar-SA"/>
              </w:rPr>
              <w:t>82</w:t>
            </w:r>
          </w:p>
        </w:tc>
      </w:tr>
      <w:tr>
        <w:tblPrEx>
          <w:tblCellMar>
            <w:top w:w="0" w:type="dxa"/>
            <w:left w:w="0" w:type="dxa"/>
            <w:bottom w:w="0" w:type="dxa"/>
            <w:right w:w="0" w:type="dxa"/>
          </w:tblCellMar>
        </w:tblPrEx>
        <w:trPr>
          <w:trHeight w:val="765" w:hRule="atLeast"/>
          <w:jc w:val="center"/>
        </w:trPr>
        <w:tc>
          <w:tcPr>
            <w:tcW w:w="3023"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firstLine="472"/>
              <w:jc w:val="center"/>
              <w:rPr>
                <w:rFonts w:hint="eastAsia" w:ascii="仿宋_GB2312" w:hAnsi="仿宋_GB2312" w:cs="仿宋_GB2312"/>
                <w:kern w:val="0"/>
                <w:sz w:val="22"/>
                <w:szCs w:val="22"/>
                <w:lang w:bidi="ar-SA"/>
              </w:rPr>
            </w:pPr>
            <w:r>
              <w:rPr>
                <w:rFonts w:ascii="仿宋_GB2312" w:hAnsi="仿宋_GB2312" w:cs="仿宋_GB2312"/>
                <w:color w:val="auto"/>
                <w:kern w:val="0"/>
                <w:sz w:val="22"/>
                <w:szCs w:val="22"/>
                <w:lang w:bidi="ar-SA"/>
              </w:rPr>
              <w:t>合计</w:t>
            </w:r>
          </w:p>
        </w:tc>
        <w:tc>
          <w:tcPr>
            <w:tcW w:w="283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firstLine="983" w:firstLineChars="447"/>
              <w:jc w:val="both"/>
              <w:rPr>
                <w:rFonts w:hint="default" w:ascii="仿宋_GB2312" w:hAnsi="仿宋_GB2312" w:eastAsia="仿宋_GB2312" w:cs="仿宋_GB2312"/>
                <w:kern w:val="0"/>
                <w:sz w:val="22"/>
                <w:szCs w:val="22"/>
                <w:lang w:val="en-US" w:eastAsia="zh-CN" w:bidi="ar-SA"/>
              </w:rPr>
            </w:pPr>
            <w:r>
              <w:rPr>
                <w:rFonts w:hint="eastAsia" w:ascii="仿宋_GB2312" w:hAnsi="仿宋_GB2312" w:cs="仿宋_GB2312"/>
                <w:kern w:val="0"/>
                <w:sz w:val="22"/>
                <w:szCs w:val="22"/>
                <w:lang w:val="en-US" w:eastAsia="zh-CN" w:bidi="ar-SA"/>
              </w:rPr>
              <w:t>3294</w:t>
            </w:r>
          </w:p>
        </w:tc>
        <w:tc>
          <w:tcPr>
            <w:tcW w:w="284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ind w:left="-38" w:leftChars="-12"/>
              <w:jc w:val="center"/>
              <w:rPr>
                <w:rFonts w:hint="default" w:ascii="仿宋_GB2312" w:hAnsi="仿宋_GB2312" w:eastAsia="仿宋_GB2312" w:cs="仿宋_GB2312"/>
                <w:color w:val="auto"/>
                <w:kern w:val="0"/>
                <w:sz w:val="22"/>
                <w:szCs w:val="22"/>
                <w:lang w:val="en-US" w:eastAsia="zh-CN"/>
              </w:rPr>
            </w:pPr>
            <w:r>
              <w:rPr>
                <w:rFonts w:hint="eastAsia" w:ascii="仿宋_GB2312" w:hAnsi="仿宋_GB2312" w:cs="仿宋_GB2312"/>
                <w:color w:val="auto"/>
                <w:kern w:val="0"/>
                <w:sz w:val="22"/>
                <w:szCs w:val="22"/>
                <w:lang w:val="en-US" w:eastAsia="zh-CN"/>
              </w:rPr>
              <w:t>1264</w:t>
            </w:r>
          </w:p>
        </w:tc>
      </w:tr>
    </w:tbl>
    <w:p>
      <w:pPr>
        <w:shd w:val="clear" w:color="auto" w:fill="FFFFFF"/>
        <w:spacing w:line="520" w:lineRule="exact"/>
        <w:ind w:firstLine="612"/>
        <w:jc w:val="left"/>
        <w:rPr>
          <w:rFonts w:hint="eastAsia"/>
          <w:bCs/>
          <w:kern w:val="0"/>
          <w:sz w:val="28"/>
          <w:szCs w:val="28"/>
          <w:shd w:val="clear" w:color="auto" w:fill="FFFFFF"/>
        </w:rPr>
      </w:pPr>
      <w:r>
        <w:rPr>
          <w:rFonts w:hint="eastAsia"/>
          <w:bCs/>
          <w:kern w:val="0"/>
          <w:sz w:val="28"/>
          <w:szCs w:val="28"/>
          <w:shd w:val="clear" w:color="auto" w:fill="FFFFFF"/>
        </w:rPr>
        <w:t>备注：</w:t>
      </w:r>
      <w:r>
        <w:rPr>
          <w:bCs/>
          <w:kern w:val="0"/>
          <w:sz w:val="28"/>
          <w:szCs w:val="28"/>
          <w:shd w:val="clear" w:color="auto" w:fill="FFFFFF"/>
        </w:rPr>
        <w:t>农村集体经济组织</w:t>
      </w:r>
      <w:r>
        <w:rPr>
          <w:rFonts w:hint="eastAsia"/>
          <w:bCs/>
          <w:kern w:val="0"/>
          <w:sz w:val="28"/>
          <w:szCs w:val="28"/>
          <w:shd w:val="clear" w:color="auto" w:fill="FFFFFF"/>
        </w:rPr>
        <w:t>如</w:t>
      </w:r>
      <w:r>
        <w:rPr>
          <w:bCs/>
          <w:kern w:val="0"/>
          <w:sz w:val="28"/>
          <w:szCs w:val="28"/>
          <w:shd w:val="clear" w:color="auto" w:fill="FFFFFF"/>
        </w:rPr>
        <w:t>实行土地股份制经济或者集体统一经营土地</w:t>
      </w:r>
      <w:r>
        <w:rPr>
          <w:rFonts w:hint="eastAsia"/>
          <w:bCs/>
          <w:kern w:val="0"/>
          <w:sz w:val="28"/>
          <w:szCs w:val="28"/>
          <w:shd w:val="clear" w:color="auto" w:fill="FFFFFF"/>
        </w:rPr>
        <w:t>的，在此表“</w:t>
      </w:r>
      <w:r>
        <w:rPr>
          <w:rFonts w:hint="eastAsia" w:ascii="Times New Roman" w:hAnsi="Times New Roman" w:eastAsia="仿宋_GB2312" w:cs="Times New Roman"/>
          <w:bCs/>
          <w:color w:val="auto"/>
          <w:kern w:val="0"/>
          <w:sz w:val="28"/>
          <w:szCs w:val="28"/>
          <w:shd w:val="clear" w:color="auto" w:fill="FFFFFF"/>
          <w:lang w:bidi="ar-SA"/>
        </w:rPr>
        <w:t>拟被征地承包户户数</w:t>
      </w:r>
      <w:r>
        <w:rPr>
          <w:rFonts w:hint="eastAsia"/>
          <w:bCs/>
          <w:kern w:val="0"/>
          <w:sz w:val="28"/>
          <w:szCs w:val="28"/>
          <w:shd w:val="clear" w:color="auto" w:fill="FFFFFF"/>
        </w:rPr>
        <w:t>”栏说明有关情况。</w:t>
      </w:r>
    </w:p>
    <w:p>
      <w:pPr>
        <w:shd w:val="clear" w:color="auto" w:fill="FFFFFF"/>
        <w:spacing w:line="520" w:lineRule="exact"/>
        <w:ind w:firstLine="240" w:firstLineChars="100"/>
        <w:jc w:val="left"/>
        <w:rPr>
          <w:rFonts w:hint="eastAsia" w:ascii="仿宋_GB2312" w:hAnsi="仿宋_GB2312" w:cs="仿宋_GB2312"/>
          <w:color w:val="000000"/>
          <w:kern w:val="0"/>
          <w:sz w:val="24"/>
          <w:szCs w:val="24"/>
          <w:shd w:val="clear" w:color="auto" w:fill="FFFFFF"/>
          <w:lang w:val="en-US" w:eastAsia="zh-CN" w:bidi="ar"/>
        </w:rPr>
      </w:pPr>
      <w:r>
        <w:rPr>
          <w:rFonts w:hint="eastAsia" w:ascii="仿宋_GB2312" w:hAnsi="仿宋_GB2312" w:cs="仿宋_GB2312"/>
          <w:color w:val="000000"/>
          <w:kern w:val="0"/>
          <w:sz w:val="24"/>
          <w:szCs w:val="24"/>
          <w:shd w:val="clear" w:color="auto" w:fill="FFFFFF"/>
          <w:lang w:bidi="ar"/>
        </w:rPr>
        <w:t xml:space="preserve">              </w:t>
      </w:r>
      <w:r>
        <w:rPr>
          <w:rFonts w:hint="eastAsia" w:ascii="仿宋_GB2312" w:hAnsi="仿宋_GB2312" w:cs="仿宋_GB2312"/>
          <w:color w:val="000000"/>
          <w:kern w:val="0"/>
          <w:sz w:val="24"/>
          <w:szCs w:val="24"/>
          <w:shd w:val="clear" w:color="auto" w:fill="FFFFFF"/>
          <w:lang w:val="en-US" w:eastAsia="zh-CN" w:bidi="ar"/>
        </w:rPr>
        <w:t xml:space="preserve">     </w:t>
      </w:r>
    </w:p>
    <w:p>
      <w:pPr>
        <w:shd w:val="clear" w:color="auto" w:fill="FFFFFF"/>
        <w:spacing w:line="520" w:lineRule="exact"/>
        <w:ind w:firstLine="2800" w:firstLineChars="1000"/>
        <w:jc w:val="left"/>
        <w:rPr>
          <w:rFonts w:hint="eastAsia" w:ascii="仿宋_GB2312" w:hAnsi="仿宋_GB2312" w:cs="仿宋_GB2312"/>
          <w:color w:val="000000"/>
          <w:kern w:val="0"/>
          <w:sz w:val="28"/>
          <w:szCs w:val="28"/>
          <w:shd w:val="clear" w:color="auto" w:fill="FFFFFF"/>
          <w:lang w:bidi="ar"/>
        </w:rPr>
      </w:pPr>
      <w:r>
        <w:rPr>
          <w:rFonts w:hint="eastAsia" w:ascii="仿宋_GB2312" w:hAnsi="仿宋_GB2312" w:cs="仿宋_GB2312"/>
          <w:color w:val="000000"/>
          <w:kern w:val="0"/>
          <w:sz w:val="28"/>
          <w:szCs w:val="28"/>
          <w:shd w:val="clear" w:color="auto" w:fill="FFFFFF"/>
          <w:lang w:bidi="ar"/>
        </w:rPr>
        <w:t>广州市花都区</w:t>
      </w:r>
      <w:r>
        <w:rPr>
          <w:rFonts w:hint="eastAsia" w:ascii="仿宋_GB2312" w:hAnsi="仿宋_GB2312" w:cs="仿宋_GB2312"/>
          <w:color w:val="000000"/>
          <w:kern w:val="0"/>
          <w:sz w:val="28"/>
          <w:szCs w:val="28"/>
          <w:shd w:val="clear" w:color="auto" w:fill="FFFFFF"/>
          <w:lang w:eastAsia="zh-CN" w:bidi="ar"/>
        </w:rPr>
        <w:t>人民政府</w:t>
      </w:r>
      <w:r>
        <w:rPr>
          <w:rFonts w:hint="eastAsia" w:ascii="仿宋_GB2312" w:hAnsi="仿宋_GB2312" w:cs="仿宋_GB2312"/>
          <w:color w:val="000000"/>
          <w:kern w:val="0"/>
          <w:sz w:val="28"/>
          <w:szCs w:val="28"/>
          <w:shd w:val="clear" w:color="auto" w:fill="FFFFFF"/>
          <w:lang w:bidi="ar"/>
        </w:rPr>
        <w:t>花城街道办事处</w:t>
      </w:r>
    </w:p>
    <w:p>
      <w:pPr>
        <w:shd w:val="clear" w:color="auto" w:fill="FFFFFF"/>
        <w:spacing w:line="520" w:lineRule="exact"/>
        <w:ind w:firstLine="612"/>
        <w:jc w:val="left"/>
        <w:rPr>
          <w:rFonts w:hint="eastAsia" w:ascii="仿宋_GB2312" w:hAnsi="仿宋_GB2312" w:cs="仿宋_GB2312"/>
          <w:color w:val="000000"/>
          <w:kern w:val="0"/>
          <w:sz w:val="28"/>
          <w:szCs w:val="28"/>
          <w:shd w:val="clear" w:color="auto" w:fill="FFFFFF"/>
          <w:lang w:bidi="ar"/>
        </w:rPr>
      </w:pPr>
      <w:r>
        <w:rPr>
          <w:rFonts w:hint="eastAsia" w:ascii="仿宋_GB2312" w:hAnsi="仿宋_GB2312" w:cs="仿宋_GB2312"/>
          <w:color w:val="000000"/>
          <w:kern w:val="0"/>
          <w:sz w:val="28"/>
          <w:szCs w:val="28"/>
          <w:shd w:val="clear" w:color="auto" w:fill="FFFFFF"/>
          <w:lang w:val="en-US" w:eastAsia="zh-CN" w:bidi="ar"/>
        </w:rPr>
        <w:t xml:space="preserve">                              </w:t>
      </w:r>
      <w:r>
        <w:rPr>
          <w:rFonts w:hint="eastAsia" w:ascii="仿宋_GB2312" w:hAnsi="仿宋_GB2312" w:cs="仿宋_GB2312"/>
          <w:color w:val="000000"/>
          <w:kern w:val="0"/>
          <w:sz w:val="28"/>
          <w:szCs w:val="28"/>
          <w:shd w:val="clear" w:color="auto" w:fill="FFFFFF"/>
          <w:lang w:bidi="ar"/>
        </w:rPr>
        <w:t>（盖章）</w:t>
      </w:r>
    </w:p>
    <w:p>
      <w:pPr>
        <w:shd w:val="clear" w:color="auto" w:fill="FFFFFF"/>
        <w:spacing w:line="520" w:lineRule="exact"/>
        <w:ind w:firstLine="4760" w:firstLineChars="1700"/>
        <w:jc w:val="left"/>
        <w:rPr>
          <w:rFonts w:hint="eastAsia" w:ascii="仿宋_GB2312" w:hAnsi="仿宋_GB2312" w:cs="仿宋_GB2312"/>
          <w:color w:val="000000"/>
          <w:kern w:val="0"/>
          <w:sz w:val="28"/>
          <w:szCs w:val="28"/>
          <w:shd w:val="clear" w:color="auto" w:fill="FFFFFF"/>
          <w:lang w:bidi="ar"/>
        </w:rPr>
      </w:pPr>
      <w:r>
        <w:rPr>
          <w:rFonts w:hint="eastAsia" w:ascii="仿宋_GB2312" w:hAnsi="仿宋_GB2312" w:cs="仿宋_GB2312"/>
          <w:color w:val="000000"/>
          <w:kern w:val="0"/>
          <w:sz w:val="28"/>
          <w:szCs w:val="28"/>
          <w:shd w:val="clear" w:color="auto" w:fill="FFFFFF"/>
          <w:lang w:bidi="ar"/>
        </w:rPr>
        <w:t xml:space="preserve">年 </w:t>
      </w:r>
      <w:r>
        <w:rPr>
          <w:rFonts w:ascii="仿宋_GB2312" w:hAnsi="仿宋_GB2312" w:cs="仿宋_GB2312"/>
          <w:color w:val="000000"/>
          <w:kern w:val="0"/>
          <w:sz w:val="28"/>
          <w:szCs w:val="28"/>
          <w:shd w:val="clear" w:color="auto" w:fill="FFFFFF"/>
          <w:lang w:bidi="ar"/>
        </w:rPr>
        <w:t xml:space="preserve"> </w:t>
      </w:r>
      <w:r>
        <w:rPr>
          <w:rFonts w:hint="eastAsia" w:ascii="仿宋_GB2312" w:hAnsi="仿宋_GB2312" w:cs="仿宋_GB2312"/>
          <w:color w:val="000000"/>
          <w:kern w:val="0"/>
          <w:sz w:val="28"/>
          <w:szCs w:val="28"/>
          <w:shd w:val="clear" w:color="auto" w:fill="FFFFFF"/>
          <w:lang w:bidi="ar"/>
        </w:rPr>
        <w:t>月  日</w:t>
      </w:r>
    </w:p>
    <w:p>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EC2A03"/>
    <w:rsid w:val="0C1E49CC"/>
    <w:rsid w:val="0C9362F0"/>
    <w:rsid w:val="0CE91961"/>
    <w:rsid w:val="12341E88"/>
    <w:rsid w:val="13714D70"/>
    <w:rsid w:val="15CE692B"/>
    <w:rsid w:val="19E21F71"/>
    <w:rsid w:val="20B67655"/>
    <w:rsid w:val="211F0DDA"/>
    <w:rsid w:val="23141564"/>
    <w:rsid w:val="28702BCD"/>
    <w:rsid w:val="2B972895"/>
    <w:rsid w:val="2DAF2E8F"/>
    <w:rsid w:val="35F746F3"/>
    <w:rsid w:val="36EF346B"/>
    <w:rsid w:val="383071EA"/>
    <w:rsid w:val="39751ECE"/>
    <w:rsid w:val="3A9535F9"/>
    <w:rsid w:val="3CFF5EF7"/>
    <w:rsid w:val="3E3629B5"/>
    <w:rsid w:val="3EA022D5"/>
    <w:rsid w:val="3F233CD8"/>
    <w:rsid w:val="3F6655A0"/>
    <w:rsid w:val="40736F4A"/>
    <w:rsid w:val="42A07318"/>
    <w:rsid w:val="450C1F37"/>
    <w:rsid w:val="45ED6BD1"/>
    <w:rsid w:val="4C363821"/>
    <w:rsid w:val="56293227"/>
    <w:rsid w:val="57B071EF"/>
    <w:rsid w:val="5D7072F6"/>
    <w:rsid w:val="614340C8"/>
    <w:rsid w:val="64374311"/>
    <w:rsid w:val="65A9621A"/>
    <w:rsid w:val="66177D25"/>
    <w:rsid w:val="72270D40"/>
    <w:rsid w:val="7451241A"/>
    <w:rsid w:val="748706FC"/>
    <w:rsid w:val="79A963F5"/>
    <w:rsid w:val="7A301722"/>
    <w:rsid w:val="7A4A27FD"/>
    <w:rsid w:val="7C1546B9"/>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NTKO</cp:lastModifiedBy>
  <cp:lastPrinted>2022-01-04T07:55:00Z</cp:lastPrinted>
  <dcterms:modified xsi:type="dcterms:W3CDTF">2022-10-25T03:12:58Z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B52A59D0A2CC4CDCA40CF36D2B2AAA6D</vt:lpwstr>
  </property>
</Properties>
</file>