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widowControl/>
        <w:shd w:val="clear" w:color="auto" w:fill="FFFFFF"/>
        <w:spacing w:line="580" w:lineRule="exact"/>
        <w:ind w:firstLine="615"/>
        <w:jc w:val="left"/>
        <w:rPr>
          <w:rFonts w:hint="eastAsia"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rPr>
        <w:t>关</w:t>
      </w:r>
      <w:r>
        <w:rPr>
          <w:rFonts w:hint="default" w:ascii="Times New Roman" w:hAnsi="Times New Roman" w:eastAsia="方正小标宋简体" w:cs="Times New Roman"/>
          <w:sz w:val="44"/>
          <w:szCs w:val="44"/>
          <w:highlight w:val="none"/>
        </w:rPr>
        <w:t>于</w:t>
      </w:r>
      <w:r>
        <w:rPr>
          <w:rFonts w:hint="eastAsia" w:eastAsia="方正小标宋简体" w:cs="Times New Roman"/>
          <w:sz w:val="44"/>
          <w:szCs w:val="44"/>
          <w:highlight w:val="none"/>
          <w:lang w:val="en-US" w:eastAsia="zh-CN"/>
        </w:rPr>
        <w:t>广州市花都区2022年度第五十批次城镇建设用地</w:t>
      </w:r>
      <w:r>
        <w:rPr>
          <w:rFonts w:hint="eastAsia" w:ascii="Times New Roman" w:hAnsi="Times New Roman" w:eastAsia="方正小标宋简体" w:cs="Times New Roman"/>
          <w:sz w:val="44"/>
          <w:szCs w:val="44"/>
          <w:highlight w:val="none"/>
          <w:lang w:val="en-US" w:eastAsia="zh-CN"/>
        </w:rPr>
        <w:t>（秀全水库东一地块一</w:t>
      </w:r>
      <w:r>
        <w:rPr>
          <w:rFonts w:hint="default" w:ascii="Times New Roman" w:hAnsi="Times New Roman" w:eastAsia="方正小标宋简体" w:cs="Times New Roman"/>
          <w:sz w:val="44"/>
          <w:szCs w:val="44"/>
          <w:highlight w:val="none"/>
          <w:lang w:val="en-US" w:eastAsia="zh-CN"/>
        </w:rPr>
        <w:t>〔</w:t>
      </w:r>
      <w:r>
        <w:rPr>
          <w:rFonts w:hint="eastAsia" w:ascii="Times New Roman" w:hAnsi="Times New Roman" w:eastAsia="方正小标宋简体" w:cs="Times New Roman"/>
          <w:sz w:val="44"/>
          <w:szCs w:val="44"/>
          <w:highlight w:val="none"/>
          <w:lang w:val="en-US" w:eastAsia="zh-CN"/>
        </w:rPr>
        <w:t>一期</w:t>
      </w:r>
      <w:r>
        <w:rPr>
          <w:rFonts w:hint="default" w:ascii="Times New Roman" w:hAnsi="Times New Roman" w:eastAsia="方正小标宋简体" w:cs="Times New Roman"/>
          <w:sz w:val="44"/>
          <w:szCs w:val="44"/>
          <w:highlight w:val="none"/>
          <w:lang w:val="en-US" w:eastAsia="zh-CN"/>
        </w:rPr>
        <w:t>〕</w:t>
      </w:r>
      <w:r>
        <w:rPr>
          <w:rFonts w:hint="eastAsia" w:ascii="Times New Roman" w:hAnsi="Times New Roman" w:eastAsia="方正小标宋简体" w:cs="Times New Roman"/>
          <w:sz w:val="44"/>
          <w:szCs w:val="4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highlight w:val="none"/>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spacing w:beforeLines="0" w:afterLines="0" w:line="400" w:lineRule="atLeast"/>
        <w:ind w:left="230" w:firstLine="640" w:firstLineChars="200"/>
        <w:jc w:val="both"/>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为实施广州市花都区花城街建设规划，完善城市功能，改善城市环境，促进经济、文化发展。我区拟征收广州市花都区</w:t>
      </w:r>
      <w:r>
        <w:rPr>
          <w:rFonts w:hint="eastAsia" w:ascii="Times New Roman" w:hAnsi="Times New Roman" w:eastAsia="仿宋_GB2312" w:cs="Times New Roman"/>
          <w:sz w:val="32"/>
          <w:lang w:val="zh-CN"/>
        </w:rPr>
        <w:t>花城街杨二村经济联合社、杨二村草弄经济合作社、杨二村存心经济合作社、杨二村大龙经济合作社、杨二村榕树经济合作社、杨二村泗合经济合作社、杨二村上头经济合作社、杨二村瓦窑经济合作社、杨二村新村经济合作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26.7151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征收花城街杨二村集体土地总面积</w:t>
      </w:r>
      <w:r>
        <w:rPr>
          <w:rFonts w:hint="eastAsia" w:eastAsia="仿宋_GB2312" w:cs="Times New Roman"/>
          <w:sz w:val="32"/>
          <w:szCs w:val="32"/>
          <w:highlight w:val="none"/>
          <w:lang w:val="en-US" w:eastAsia="zh-CN"/>
        </w:rPr>
        <w:t>26.7151</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20.1678公顷（耕地10.9951公顷、园地8.3720公顷、草地0.0216公顷、其他农用地0.7791公顷）、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6.5473公顷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rPr>
        <w:t>（一）土地补偿费与安置补助费</w:t>
      </w: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土地补偿费与安置补助费一览表（一）</w:t>
      </w:r>
    </w:p>
    <w:p>
      <w:pPr>
        <w:spacing w:line="62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（单位：公顷、万元/公顷、万元）</w:t>
      </w:r>
    </w:p>
    <w:tbl>
      <w:tblPr>
        <w:tblStyle w:val="8"/>
        <w:tblW w:w="9519"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33"/>
        <w:gridCol w:w="974"/>
        <w:gridCol w:w="1040"/>
        <w:gridCol w:w="946"/>
        <w:gridCol w:w="1160"/>
        <w:gridCol w:w="1027"/>
        <w:gridCol w:w="113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07"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040"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06"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160"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7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7" w:type="dxa"/>
            <w:vMerge w:val="continue"/>
            <w:vAlign w:val="center"/>
          </w:tcPr>
          <w:p>
            <w:pPr>
              <w:jc w:val="center"/>
              <w:rPr>
                <w:rFonts w:hint="default" w:ascii="Times New Roman" w:hAnsi="Times New Roman" w:eastAsia="仿宋_GB2312" w:cs="Times New Roman"/>
                <w:b/>
                <w:bCs/>
                <w:sz w:val="24"/>
              </w:rPr>
            </w:pPr>
          </w:p>
        </w:tc>
        <w:tc>
          <w:tcPr>
            <w:tcW w:w="1507" w:type="dxa"/>
            <w:gridSpan w:val="2"/>
            <w:vMerge w:val="continue"/>
            <w:vAlign w:val="center"/>
          </w:tcPr>
          <w:p>
            <w:pPr>
              <w:jc w:val="center"/>
              <w:rPr>
                <w:rFonts w:hint="default" w:ascii="Times New Roman" w:hAnsi="Times New Roman" w:eastAsia="仿宋_GB2312" w:cs="Times New Roman"/>
                <w:b/>
                <w:bCs/>
                <w:sz w:val="24"/>
              </w:rPr>
            </w:pPr>
          </w:p>
        </w:tc>
        <w:tc>
          <w:tcPr>
            <w:tcW w:w="1040" w:type="dxa"/>
            <w:vMerge w:val="continue"/>
            <w:vAlign w:val="center"/>
          </w:tcPr>
          <w:p>
            <w:pPr>
              <w:jc w:val="center"/>
              <w:rPr>
                <w:rFonts w:hint="default" w:ascii="Times New Roman" w:hAnsi="Times New Roman" w:eastAsia="仿宋_GB2312" w:cs="Times New Roman"/>
                <w:b/>
                <w:bCs/>
                <w:sz w:val="24"/>
              </w:rPr>
            </w:pPr>
          </w:p>
        </w:tc>
        <w:tc>
          <w:tcPr>
            <w:tcW w:w="946"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0"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027"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3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7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27"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Times New Roman" w:hAnsi="Times New Roman" w:eastAsia="仿宋_GB2312" w:cs="宋体"/>
                <w:i w:val="0"/>
                <w:iCs w:val="0"/>
                <w:color w:val="000000"/>
                <w:kern w:val="0"/>
                <w:sz w:val="24"/>
                <w:szCs w:val="24"/>
                <w:u w:val="none"/>
                <w:lang w:val="en-US" w:eastAsia="zh-CN" w:bidi="ar"/>
              </w:rPr>
              <w:t>广州市花都区花城街杨二村经济联合社、杨二村草弄经济合作社、存心经济合作社、大龙经济合作社、榕树经济合作社、泗合经济合作社、上头经济合作社、瓦窑经济合作社、新村经济合作社</w:t>
            </w:r>
          </w:p>
        </w:tc>
        <w:tc>
          <w:tcPr>
            <w:tcW w:w="533" w:type="dxa"/>
            <w:vMerge w:val="restart"/>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耕地</w:t>
            </w:r>
          </w:p>
        </w:tc>
        <w:tc>
          <w:tcPr>
            <w:tcW w:w="97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水田</w:t>
            </w:r>
          </w:p>
        </w:tc>
        <w:tc>
          <w:tcPr>
            <w:tcW w:w="104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rPr>
            </w:pPr>
            <w:r>
              <w:rPr>
                <w:rFonts w:hint="eastAsia" w:cs="Times New Roman"/>
                <w:i w:val="0"/>
                <w:iCs w:val="0"/>
                <w:color w:val="000000"/>
                <w:kern w:val="0"/>
                <w:sz w:val="21"/>
                <w:szCs w:val="21"/>
                <w:u w:val="none"/>
                <w:lang w:val="en-US" w:eastAsia="zh-CN" w:bidi="ar"/>
              </w:rPr>
              <w:t>10.4442</w:t>
            </w:r>
          </w:p>
        </w:tc>
        <w:tc>
          <w:tcPr>
            <w:tcW w:w="946"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6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rPr>
            </w:pPr>
            <w:r>
              <w:rPr>
                <w:rFonts w:hint="eastAsia" w:cs="Times New Roman"/>
                <w:i w:val="0"/>
                <w:iCs w:val="0"/>
                <w:color w:val="000000"/>
                <w:kern w:val="0"/>
                <w:sz w:val="21"/>
                <w:szCs w:val="21"/>
                <w:u w:val="none"/>
                <w:lang w:val="en-US" w:eastAsia="zh-CN" w:bidi="ar"/>
              </w:rPr>
              <w:t>1253.3040</w:t>
            </w:r>
          </w:p>
        </w:tc>
        <w:tc>
          <w:tcPr>
            <w:tcW w:w="1027"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33"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rPr>
            </w:pPr>
            <w:r>
              <w:rPr>
                <w:rFonts w:hint="eastAsia" w:cs="Times New Roman"/>
                <w:i w:val="0"/>
                <w:iCs w:val="0"/>
                <w:color w:val="000000"/>
                <w:kern w:val="0"/>
                <w:sz w:val="21"/>
                <w:szCs w:val="21"/>
                <w:u w:val="none"/>
                <w:lang w:val="en-US" w:eastAsia="zh-CN" w:bidi="ar"/>
              </w:rPr>
              <w:t>1253.3040</w:t>
            </w:r>
          </w:p>
        </w:tc>
        <w:tc>
          <w:tcPr>
            <w:tcW w:w="1479"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rPr>
            </w:pPr>
            <w:r>
              <w:rPr>
                <w:rFonts w:hint="eastAsia" w:cs="Times New Roman"/>
                <w:i w:val="0"/>
                <w:iCs w:val="0"/>
                <w:color w:val="000000"/>
                <w:kern w:val="0"/>
                <w:sz w:val="21"/>
                <w:szCs w:val="21"/>
                <w:u w:val="none"/>
                <w:lang w:val="en-US" w:eastAsia="zh-CN" w:bidi="ar"/>
              </w:rPr>
              <w:t>2506.6080</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27" w:type="dxa"/>
            <w:vMerge w:val="continue"/>
            <w:vAlign w:val="center"/>
          </w:tcPr>
          <w:p>
            <w:pPr>
              <w:jc w:val="center"/>
              <w:rPr>
                <w:rFonts w:hint="default" w:ascii="Times New Roman" w:hAnsi="Times New Roman" w:eastAsia="仿宋_GB2312" w:cs="Times New Roman"/>
                <w:sz w:val="24"/>
              </w:rPr>
            </w:pPr>
          </w:p>
        </w:tc>
        <w:tc>
          <w:tcPr>
            <w:tcW w:w="533"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水浇地</w:t>
            </w:r>
          </w:p>
        </w:tc>
        <w:tc>
          <w:tcPr>
            <w:tcW w:w="104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0.5509</w:t>
            </w:r>
          </w:p>
        </w:tc>
        <w:tc>
          <w:tcPr>
            <w:tcW w:w="946" w:type="dxa"/>
            <w:vAlign w:val="center"/>
          </w:tcPr>
          <w:p>
            <w:pPr>
              <w:keepNext w:val="0"/>
              <w:keepLines w:val="0"/>
              <w:widowControl/>
              <w:suppressLineNumbers w:val="0"/>
              <w:snapToGrid w:val="0"/>
              <w:spacing w:line="240" w:lineRule="auto"/>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120</w:t>
            </w:r>
          </w:p>
        </w:tc>
        <w:tc>
          <w:tcPr>
            <w:tcW w:w="116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66.1080</w:t>
            </w:r>
          </w:p>
        </w:tc>
        <w:tc>
          <w:tcPr>
            <w:tcW w:w="1027"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120</w:t>
            </w:r>
          </w:p>
        </w:tc>
        <w:tc>
          <w:tcPr>
            <w:tcW w:w="1133" w:type="dxa"/>
            <w:vAlign w:val="center"/>
          </w:tcPr>
          <w:p>
            <w:pPr>
              <w:keepNext w:val="0"/>
              <w:keepLines w:val="0"/>
              <w:widowControl/>
              <w:suppressLineNumbers w:val="0"/>
              <w:snapToGrid w:val="0"/>
              <w:spacing w:line="240" w:lineRule="auto"/>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66.1080</w:t>
            </w:r>
          </w:p>
        </w:tc>
        <w:tc>
          <w:tcPr>
            <w:tcW w:w="1479"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132.2160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27" w:type="dxa"/>
            <w:vMerge w:val="continue"/>
            <w:vAlign w:val="center"/>
          </w:tcPr>
          <w:p>
            <w:pPr>
              <w:jc w:val="center"/>
              <w:rPr>
                <w:rFonts w:hint="default" w:ascii="Times New Roman" w:hAnsi="Times New Roman" w:eastAsia="仿宋_GB2312" w:cs="Times New Roman"/>
                <w:sz w:val="24"/>
              </w:rPr>
            </w:pPr>
          </w:p>
        </w:tc>
        <w:tc>
          <w:tcPr>
            <w:tcW w:w="533"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旱地</w:t>
            </w:r>
          </w:p>
        </w:tc>
        <w:tc>
          <w:tcPr>
            <w:tcW w:w="104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rPr>
            </w:pPr>
          </w:p>
          <w:p>
            <w:pPr>
              <w:keepNext w:val="0"/>
              <w:keepLines w:val="0"/>
              <w:widowControl/>
              <w:suppressLineNumbers w:val="0"/>
              <w:jc w:val="center"/>
              <w:textAlignment w:val="center"/>
              <w:rPr>
                <w:rFonts w:hint="default" w:ascii="Times New Roman" w:hAnsi="Times New Roman" w:eastAsia="仿宋_GB2312" w:cs="Times New Roman"/>
                <w:szCs w:val="21"/>
              </w:rPr>
            </w:pPr>
          </w:p>
        </w:tc>
        <w:tc>
          <w:tcPr>
            <w:tcW w:w="946"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lang w:val="en-US" w:eastAsia="zh-CN"/>
              </w:rPr>
            </w:pPr>
          </w:p>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p>
        </w:tc>
        <w:tc>
          <w:tcPr>
            <w:tcW w:w="116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rPr>
            </w:pPr>
          </w:p>
          <w:p>
            <w:pPr>
              <w:keepNext w:val="0"/>
              <w:keepLines w:val="0"/>
              <w:widowControl/>
              <w:suppressLineNumbers w:val="0"/>
              <w:jc w:val="center"/>
              <w:textAlignment w:val="center"/>
              <w:rPr>
                <w:rFonts w:hint="default" w:ascii="Times New Roman" w:hAnsi="Times New Roman" w:eastAsia="仿宋_GB2312" w:cs="Times New Roman"/>
                <w:szCs w:val="21"/>
              </w:rPr>
            </w:pPr>
          </w:p>
        </w:tc>
        <w:tc>
          <w:tcPr>
            <w:tcW w:w="1027"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rPr>
            </w:pPr>
          </w:p>
          <w:p>
            <w:pPr>
              <w:keepNext w:val="0"/>
              <w:keepLines w:val="0"/>
              <w:widowControl/>
              <w:suppressLineNumbers w:val="0"/>
              <w:jc w:val="center"/>
              <w:textAlignment w:val="center"/>
              <w:rPr>
                <w:rFonts w:hint="default" w:ascii="Times New Roman" w:hAnsi="Times New Roman" w:eastAsia="仿宋_GB2312" w:cs="Times New Roman"/>
                <w:szCs w:val="21"/>
              </w:rPr>
            </w:pPr>
          </w:p>
        </w:tc>
        <w:tc>
          <w:tcPr>
            <w:tcW w:w="1133"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rPr>
            </w:pPr>
          </w:p>
          <w:p>
            <w:pPr>
              <w:keepNext w:val="0"/>
              <w:keepLines w:val="0"/>
              <w:widowControl/>
              <w:suppressLineNumbers w:val="0"/>
              <w:jc w:val="center"/>
              <w:textAlignment w:val="center"/>
              <w:rPr>
                <w:rFonts w:hint="default" w:ascii="Times New Roman" w:hAnsi="Times New Roman" w:eastAsia="仿宋_GB2312" w:cs="Times New Roman"/>
                <w:szCs w:val="21"/>
              </w:rPr>
            </w:pPr>
          </w:p>
        </w:tc>
        <w:tc>
          <w:tcPr>
            <w:tcW w:w="147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rPr>
            </w:pPr>
          </w:p>
          <w:p>
            <w:pPr>
              <w:keepNext w:val="0"/>
              <w:keepLines w:val="0"/>
              <w:widowControl/>
              <w:suppressLineNumbers w:val="0"/>
              <w:jc w:val="center"/>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7" w:type="dxa"/>
            <w:vMerge w:val="continue"/>
            <w:vAlign w:val="center"/>
          </w:tcPr>
          <w:p>
            <w:pPr>
              <w:jc w:val="center"/>
              <w:rPr>
                <w:rFonts w:hint="default" w:ascii="Times New Roman" w:hAnsi="Times New Roman" w:eastAsia="仿宋_GB2312" w:cs="Times New Roman"/>
                <w:sz w:val="24"/>
              </w:rPr>
            </w:pPr>
          </w:p>
        </w:tc>
        <w:tc>
          <w:tcPr>
            <w:tcW w:w="150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园地</w:t>
            </w:r>
          </w:p>
        </w:tc>
        <w:tc>
          <w:tcPr>
            <w:tcW w:w="104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rPr>
            </w:pPr>
            <w:r>
              <w:rPr>
                <w:rFonts w:hint="eastAsia" w:cs="Times New Roman"/>
                <w:i w:val="0"/>
                <w:iCs w:val="0"/>
                <w:color w:val="000000"/>
                <w:kern w:val="0"/>
                <w:sz w:val="21"/>
                <w:szCs w:val="21"/>
                <w:u w:val="none"/>
                <w:lang w:val="en-US" w:eastAsia="zh-CN" w:bidi="ar"/>
              </w:rPr>
              <w:t>8.3720</w:t>
            </w:r>
            <w:r>
              <w:rPr>
                <w:rFonts w:hint="default" w:ascii="Times New Roman" w:hAnsi="Times New Roman" w:cs="Times New Roman"/>
                <w:i w:val="0"/>
                <w:iCs w:val="0"/>
                <w:color w:val="000000"/>
                <w:kern w:val="0"/>
                <w:sz w:val="21"/>
                <w:szCs w:val="21"/>
                <w:u w:val="none"/>
                <w:lang w:val="en-US" w:eastAsia="zh-CN" w:bidi="ar"/>
              </w:rPr>
              <w:t xml:space="preserve"> </w:t>
            </w:r>
          </w:p>
        </w:tc>
        <w:tc>
          <w:tcPr>
            <w:tcW w:w="946"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6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eastAsia="zh-CN"/>
              </w:rPr>
            </w:pPr>
            <w:r>
              <w:rPr>
                <w:rFonts w:hint="eastAsia" w:cs="Times New Roman"/>
                <w:i w:val="0"/>
                <w:iCs w:val="0"/>
                <w:color w:val="000000"/>
                <w:kern w:val="0"/>
                <w:sz w:val="21"/>
                <w:szCs w:val="21"/>
                <w:u w:val="none"/>
                <w:lang w:val="en-US" w:eastAsia="zh-CN" w:bidi="ar"/>
              </w:rPr>
              <w:t>1004.6400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027"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33"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1004.6400</w:t>
            </w:r>
          </w:p>
        </w:tc>
        <w:tc>
          <w:tcPr>
            <w:tcW w:w="1479"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2009.2800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7" w:type="dxa"/>
            <w:vMerge w:val="continue"/>
            <w:vAlign w:val="center"/>
          </w:tcPr>
          <w:p>
            <w:pPr>
              <w:jc w:val="center"/>
              <w:rPr>
                <w:rFonts w:hint="default" w:ascii="Times New Roman" w:hAnsi="Times New Roman" w:eastAsia="仿宋_GB2312" w:cs="Times New Roman"/>
                <w:sz w:val="24"/>
              </w:rPr>
            </w:pPr>
          </w:p>
        </w:tc>
        <w:tc>
          <w:tcPr>
            <w:tcW w:w="1507" w:type="dxa"/>
            <w:gridSpan w:val="2"/>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林地</w:t>
            </w:r>
          </w:p>
        </w:tc>
        <w:tc>
          <w:tcPr>
            <w:tcW w:w="104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946"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lang w:val="en-US" w:eastAsia="zh-CN"/>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6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lang w:eastAsia="zh-CN"/>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027" w:type="dxa"/>
            <w:tcBorders>
              <w:bottom w:val="single" w:color="auto" w:sz="4" w:space="0"/>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lang w:eastAsia="zh-CN"/>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133" w:type="dxa"/>
            <w:tcBorders>
              <w:bottom w:val="single" w:color="auto" w:sz="4" w:space="0"/>
            </w:tcBorders>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lang w:eastAsia="zh-CN"/>
              </w:rPr>
            </w:pPr>
          </w:p>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147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both"/>
              <w:textAlignment w:val="center"/>
              <mc:AlternateContent>
                <mc:Choice Requires="wpsCustomData">
                  <wpsCustomData:diagonalParaType/>
                </mc:Choice>
              </mc:AlternateContent>
              <w:rPr>
                <w:rFonts w:hint="default" w:ascii="Times New Roman" w:hAnsi="Times New Roman" w:eastAsia="仿宋_GB2312" w:cs="Times New Roman"/>
                <w:szCs w:val="21"/>
                <w:lang w:eastAsia="zh-CN"/>
              </w:rPr>
            </w:pP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7" w:type="dxa"/>
            <w:vMerge w:val="continue"/>
            <w:vAlign w:val="center"/>
          </w:tcPr>
          <w:p>
            <w:pPr>
              <w:jc w:val="center"/>
              <w:rPr>
                <w:rFonts w:hint="default" w:ascii="Times New Roman" w:hAnsi="Times New Roman" w:eastAsia="仿宋_GB2312" w:cs="Times New Roman"/>
                <w:sz w:val="24"/>
              </w:rPr>
            </w:pPr>
          </w:p>
        </w:tc>
        <w:tc>
          <w:tcPr>
            <w:tcW w:w="150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草地</w:t>
            </w:r>
          </w:p>
        </w:tc>
        <w:tc>
          <w:tcPr>
            <w:tcW w:w="104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0.0216</w:t>
            </w:r>
          </w:p>
        </w:tc>
        <w:tc>
          <w:tcPr>
            <w:tcW w:w="946" w:type="dxa"/>
            <w:vAlign w:val="center"/>
          </w:tcPr>
          <w:p>
            <w:pPr>
              <w:keepNext w:val="0"/>
              <w:keepLines w:val="0"/>
              <w:widowControl/>
              <w:suppressLineNumbers w:val="0"/>
              <w:jc w:val="center"/>
              <w:textAlignment w:val="center"/>
              <w:rPr>
                <w:rFonts w:hint="eastAsia"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6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2.5920 </w:t>
            </w:r>
          </w:p>
        </w:tc>
        <w:tc>
          <w:tcPr>
            <w:tcW w:w="1027" w:type="dxa"/>
            <w:tcBorders>
              <w:bottom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13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2.5920 </w:t>
            </w:r>
          </w:p>
        </w:tc>
        <w:tc>
          <w:tcPr>
            <w:tcW w:w="1479"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5.1840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7" w:type="dxa"/>
            <w:vMerge w:val="continue"/>
            <w:vAlign w:val="center"/>
          </w:tcPr>
          <w:p>
            <w:pPr>
              <w:jc w:val="center"/>
              <w:rPr>
                <w:rFonts w:hint="default" w:ascii="Times New Roman" w:hAnsi="Times New Roman" w:eastAsia="仿宋_GB2312" w:cs="Times New Roman"/>
                <w:sz w:val="24"/>
              </w:rPr>
            </w:pPr>
          </w:p>
        </w:tc>
        <w:tc>
          <w:tcPr>
            <w:tcW w:w="150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其他农用地</w:t>
            </w:r>
          </w:p>
        </w:tc>
        <w:tc>
          <w:tcPr>
            <w:tcW w:w="104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0.7791</w:t>
            </w:r>
          </w:p>
        </w:tc>
        <w:tc>
          <w:tcPr>
            <w:tcW w:w="946"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120</w:t>
            </w:r>
          </w:p>
        </w:tc>
        <w:tc>
          <w:tcPr>
            <w:tcW w:w="116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93.4920</w:t>
            </w:r>
          </w:p>
        </w:tc>
        <w:tc>
          <w:tcPr>
            <w:tcW w:w="1027"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120</w:t>
            </w:r>
          </w:p>
        </w:tc>
        <w:tc>
          <w:tcPr>
            <w:tcW w:w="1133" w:type="dxa"/>
            <w:tcBorders>
              <w:bottom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93.4920</w:t>
            </w:r>
          </w:p>
        </w:tc>
        <w:tc>
          <w:tcPr>
            <w:tcW w:w="1479"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186.9840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7" w:type="dxa"/>
            <w:vMerge w:val="continue"/>
            <w:vAlign w:val="center"/>
          </w:tcPr>
          <w:p>
            <w:pPr>
              <w:jc w:val="center"/>
              <w:rPr>
                <w:rFonts w:hint="default" w:ascii="Times New Roman" w:hAnsi="Times New Roman" w:eastAsia="仿宋_GB2312" w:cs="Times New Roman"/>
                <w:sz w:val="24"/>
              </w:rPr>
            </w:pPr>
          </w:p>
        </w:tc>
        <w:tc>
          <w:tcPr>
            <w:tcW w:w="150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建设用地</w:t>
            </w:r>
          </w:p>
        </w:tc>
        <w:tc>
          <w:tcPr>
            <w:tcW w:w="104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cs="Times New Roman"/>
                <w:i w:val="0"/>
                <w:iCs w:val="0"/>
                <w:color w:val="000000"/>
                <w:kern w:val="0"/>
                <w:sz w:val="21"/>
                <w:szCs w:val="21"/>
                <w:u w:val="none"/>
                <w:lang w:val="en-US" w:eastAsia="zh-CN" w:bidi="ar"/>
              </w:rPr>
              <w:t>6.5473</w:t>
            </w:r>
          </w:p>
        </w:tc>
        <w:tc>
          <w:tcPr>
            <w:tcW w:w="946"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240</w:t>
            </w:r>
          </w:p>
        </w:tc>
        <w:tc>
          <w:tcPr>
            <w:tcW w:w="1160"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cs="Times New Roman"/>
                <w:i w:val="0"/>
                <w:iCs w:val="0"/>
                <w:color w:val="000000"/>
                <w:kern w:val="0"/>
                <w:sz w:val="21"/>
                <w:szCs w:val="21"/>
                <w:u w:val="none"/>
                <w:lang w:val="en-US" w:eastAsia="zh-CN" w:bidi="ar"/>
              </w:rPr>
              <w:t>1571.3520</w:t>
            </w:r>
          </w:p>
        </w:tc>
        <w:tc>
          <w:tcPr>
            <w:tcW w:w="1027" w:type="dxa"/>
            <w:tcBorders>
              <w:bottom w:val="single" w:color="auto" w:sz="4" w:space="0"/>
              <w:tl2br w:val="single" w:color="auto" w:sz="4" w:space="0"/>
              <w:tr2bl w:val="nil"/>
            </w:tcBorders>
            <w:vAlign w:val="center"/>
          </w:tcPr>
          <w:p>
            <w:pPr>
              <w:jc w:val="center"/>
              <w:rPr>
                <w:rFonts w:hint="default" w:ascii="Times New Roman" w:hAnsi="Times New Roman" w:eastAsia="仿宋_GB2312" w:cs="Times New Roman"/>
                <w:szCs w:val="21"/>
              </w:rPr>
            </w:pPr>
          </w:p>
        </w:tc>
        <w:tc>
          <w:tcPr>
            <w:tcW w:w="1133" w:type="dxa"/>
            <w:tcBorders>
              <w:bottom w:val="single" w:color="auto" w:sz="4" w:space="0"/>
              <w:tl2br w:val="single" w:color="auto" w:sz="4" w:space="0"/>
              <w:tr2bl w:val="nil"/>
            </w:tcBorders>
            <w:vAlign w:val="center"/>
          </w:tcPr>
          <w:p>
            <w:pPr>
              <w:jc w:val="center"/>
              <w:rPr>
                <w:rFonts w:hint="default" w:ascii="Times New Roman" w:hAnsi="Times New Roman" w:eastAsia="仿宋_GB2312" w:cs="Times New Roman"/>
                <w:szCs w:val="21"/>
              </w:rPr>
            </w:pPr>
          </w:p>
        </w:tc>
        <w:tc>
          <w:tcPr>
            <w:tcW w:w="1479"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cs="Times New Roman"/>
                <w:i w:val="0"/>
                <w:iCs w:val="0"/>
                <w:color w:val="000000"/>
                <w:kern w:val="0"/>
                <w:sz w:val="21"/>
                <w:szCs w:val="21"/>
                <w:u w:val="none"/>
                <w:lang w:val="en-US" w:eastAsia="zh-CN" w:bidi="ar"/>
              </w:rPr>
              <w:t>1571.3520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27" w:type="dxa"/>
            <w:vMerge w:val="continue"/>
            <w:vAlign w:val="center"/>
          </w:tcPr>
          <w:p>
            <w:pPr>
              <w:jc w:val="center"/>
              <w:rPr>
                <w:rFonts w:hint="default" w:ascii="Times New Roman" w:hAnsi="Times New Roman" w:eastAsia="仿宋_GB2312" w:cs="Times New Roman"/>
                <w:sz w:val="24"/>
              </w:rPr>
            </w:pPr>
          </w:p>
        </w:tc>
        <w:tc>
          <w:tcPr>
            <w:tcW w:w="150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sz w:val="24"/>
              </w:rPr>
            </w:pPr>
            <w:r>
              <w:rPr>
                <w:rFonts w:hint="eastAsia" w:ascii="仿宋_GB2312" w:hAnsi="宋体" w:eastAsia="仿宋_GB2312" w:cs="仿宋_GB2312"/>
                <w:i w:val="0"/>
                <w:iCs w:val="0"/>
                <w:color w:val="000000"/>
                <w:kern w:val="0"/>
                <w:sz w:val="24"/>
                <w:szCs w:val="24"/>
                <w:u w:val="none"/>
                <w:lang w:val="en-US" w:eastAsia="zh-CN" w:bidi="ar"/>
              </w:rPr>
              <w:t>未利用地</w:t>
            </w:r>
          </w:p>
        </w:tc>
        <w:tc>
          <w:tcPr>
            <w:tcW w:w="104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rPr>
            </w:pPr>
          </w:p>
          <w:p>
            <w:pPr>
              <w:keepNext w:val="0"/>
              <w:keepLines w:val="0"/>
              <w:widowControl/>
              <w:suppressLineNumbers w:val="0"/>
              <w:jc w:val="center"/>
              <w:textAlignment w:val="center"/>
              <w:rPr>
                <w:rFonts w:hint="default" w:ascii="Times New Roman" w:hAnsi="Times New Roman" w:eastAsia="仿宋_GB2312" w:cs="Times New Roman"/>
                <w:szCs w:val="21"/>
              </w:rPr>
            </w:pPr>
          </w:p>
        </w:tc>
        <w:tc>
          <w:tcPr>
            <w:tcW w:w="946"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lang w:val="en-US" w:eastAsia="zh-CN"/>
              </w:rPr>
            </w:pPr>
          </w:p>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p>
        </w:tc>
        <w:tc>
          <w:tcPr>
            <w:tcW w:w="116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center"/>
              <w:textAlignment w:val="center"/>
              <mc:AlternateContent>
                <mc:Choice Requires="wpsCustomData">
                  <wpsCustomData:diagonalParaType/>
                </mc:Choice>
              </mc:AlternateContent>
              <w:rPr>
                <w:rFonts w:hint="default" w:ascii="Times New Roman" w:hAnsi="Times New Roman" w:eastAsia="仿宋_GB2312" w:cs="Times New Roman"/>
                <w:szCs w:val="21"/>
                <w:lang w:eastAsia="zh-CN"/>
              </w:rPr>
            </w:pPr>
          </w:p>
          <w:p>
            <w:pPr>
              <w:keepNext w:val="0"/>
              <w:keepLines w:val="0"/>
              <w:widowControl/>
              <w:suppressLineNumbers w:val="0"/>
              <w:jc w:val="center"/>
              <w:textAlignment w:val="center"/>
              <w:rPr>
                <w:rFonts w:hint="default" w:ascii="Times New Roman" w:hAnsi="Times New Roman" w:eastAsia="仿宋_GB2312" w:cs="Times New Roman"/>
                <w:szCs w:val="21"/>
                <w:lang w:eastAsia="zh-CN"/>
              </w:rPr>
            </w:pPr>
          </w:p>
        </w:tc>
        <w:tc>
          <w:tcPr>
            <w:tcW w:w="1027" w:type="dxa"/>
            <w:tcBorders>
              <w:tl2br w:val="single" w:color="auto" w:sz="4" w:space="0"/>
              <w:tr2bl w:val="nil"/>
            </w:tcBorders>
            <w:vAlign w:val="center"/>
          </w:tcPr>
          <w:p>
            <w:pPr>
              <w:jc w:val="center"/>
              <w:rPr>
                <w:rFonts w:hint="default" w:ascii="Times New Roman" w:hAnsi="Times New Roman" w:eastAsia="仿宋_GB2312" w:cs="Times New Roman"/>
                <w:szCs w:val="21"/>
              </w:rPr>
            </w:pPr>
          </w:p>
        </w:tc>
        <w:tc>
          <w:tcPr>
            <w:tcW w:w="1133" w:type="dxa"/>
            <w:tcBorders>
              <w:tl2br w:val="single" w:color="auto" w:sz="4" w:space="0"/>
              <w:tr2bl w:val="nil"/>
            </w:tcBorders>
            <w:vAlign w:val="center"/>
          </w:tcPr>
          <w:p>
            <w:pPr>
              <w:jc w:val="center"/>
              <w:rPr>
                <w:rFonts w:hint="default" w:ascii="Times New Roman" w:hAnsi="Times New Roman" w:eastAsia="仿宋_GB2312" w:cs="Times New Roman"/>
                <w:szCs w:val="21"/>
              </w:rPr>
            </w:pPr>
          </w:p>
        </w:tc>
        <w:tc>
          <w:tcPr>
            <w:tcW w:w="1479"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suppressLineNumbers w:val="0"/>
              <w:snapToGrid w:val="0"/>
              <w:spacing w:line="240" w:lineRule="auto"/>
              <w:jc w:val="both"/>
              <w:textAlignment w:val="center"/>
              <mc:AlternateContent>
                <mc:Choice Requires="wpsCustomData">
                  <wpsCustomData:diagonalParaType/>
                </mc:Choice>
              </mc:AlternateContent>
              <w:rPr>
                <w:rFonts w:hint="default" w:ascii="Times New Roman" w:hAnsi="Times New Roman" w:eastAsia="仿宋_GB2312" w:cs="Times New Roman"/>
                <w:szCs w:val="21"/>
                <w:lang w:eastAsia="zh-CN"/>
              </w:rPr>
            </w:pPr>
          </w:p>
          <w:p>
            <w:pPr>
              <w:keepNext w:val="0"/>
              <w:keepLines w:val="0"/>
              <w:widowControl/>
              <w:suppressLineNumbers w:val="0"/>
              <w:jc w:val="both"/>
              <w:textAlignment w:val="center"/>
              <w:rPr>
                <w:rFonts w:hint="default" w:ascii="Times New Roman" w:hAnsi="Times New Roman" w:eastAsia="仿宋_GB2312" w:cs="Times New Roman"/>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27" w:type="dxa"/>
            <w:vMerge w:val="continue"/>
            <w:vAlign w:val="center"/>
          </w:tcPr>
          <w:p>
            <w:pPr>
              <w:jc w:val="center"/>
              <w:rPr>
                <w:rFonts w:hint="default" w:ascii="Times New Roman" w:hAnsi="Times New Roman" w:eastAsia="仿宋_GB2312" w:cs="Times New Roman"/>
                <w:sz w:val="24"/>
              </w:rPr>
            </w:pPr>
          </w:p>
        </w:tc>
        <w:tc>
          <w:tcPr>
            <w:tcW w:w="6813" w:type="dxa"/>
            <w:gridSpan w:val="7"/>
            <w:vAlign w:val="center"/>
          </w:tcPr>
          <w:p>
            <w:pPr>
              <w:keepNext w:val="0"/>
              <w:keepLines w:val="0"/>
              <w:widowControl/>
              <w:suppressLineNumbers w:val="0"/>
              <w:jc w:val="center"/>
              <w:textAlignment w:val="center"/>
              <w:rPr>
                <w:rFonts w:hint="default" w:ascii="Times New Roman" w:hAnsi="Times New Roman" w:eastAsia="仿宋_GB2312" w:cs="Times New Roman"/>
                <w:szCs w:val="21"/>
              </w:rPr>
            </w:pPr>
            <w:r>
              <w:rPr>
                <w:rFonts w:hint="eastAsia" w:ascii="仿宋_GB2312" w:hAnsi="宋体" w:eastAsia="仿宋_GB2312" w:cs="仿宋_GB2312"/>
                <w:i w:val="0"/>
                <w:iCs w:val="0"/>
                <w:color w:val="000000"/>
                <w:kern w:val="0"/>
                <w:sz w:val="24"/>
                <w:szCs w:val="24"/>
                <w:u w:val="none"/>
                <w:lang w:val="en-US" w:eastAsia="zh-CN" w:bidi="ar"/>
              </w:rPr>
              <w:t>土地补偿费与安置补助费合计</w:t>
            </w:r>
          </w:p>
        </w:tc>
        <w:tc>
          <w:tcPr>
            <w:tcW w:w="1479" w:type="dxa"/>
            <w:vAlign w:val="center"/>
          </w:tcPr>
          <w:p>
            <w:pPr>
              <w:keepNext w:val="0"/>
              <w:keepLines w:val="0"/>
              <w:widowControl/>
              <w:suppressLineNumbers w:val="0"/>
              <w:jc w:val="center"/>
              <w:textAlignment w:val="center"/>
              <w:rPr>
                <w:rFonts w:hint="default" w:ascii="Times New Roman" w:hAnsi="Times New Roman" w:eastAsia="仿宋_GB2312" w:cs="Times New Roman"/>
                <w:szCs w:val="21"/>
                <w:lang w:val="en-US" w:eastAsia="zh-CN"/>
              </w:rPr>
            </w:pPr>
            <w:r>
              <w:rPr>
                <w:rFonts w:hint="eastAsia" w:eastAsia="仿宋_GB2312" w:cs="Times New Roman"/>
                <w:szCs w:val="21"/>
                <w:lang w:val="en-US" w:eastAsia="zh-CN"/>
              </w:rPr>
              <w:t>6411.6240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eastAsia="仿宋_GB2312" w:cs="Times New Roman"/>
          <w:sz w:val="32"/>
          <w:szCs w:val="32"/>
          <w:highlight w:val="none"/>
          <w:lang w:val="en-US" w:eastAsia="zh-CN"/>
        </w:rPr>
        <w:t>2.6715</w:t>
      </w:r>
      <w:r>
        <w:rPr>
          <w:rFonts w:hint="eastAsia" w:ascii="仿宋_GB2312" w:eastAsia="仿宋_GB2312"/>
          <w:sz w:val="32"/>
          <w:szCs w:val="32"/>
          <w:lang w:val="en-US" w:eastAsia="zh-CN"/>
        </w:rPr>
        <w:t>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highlight w:val="none"/>
        </w:rPr>
        <w:t>留用地兑现方式为实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eastAsia" w:eastAsia="仿宋_GB2312" w:cs="Times New Roman"/>
          <w:color w:val="auto"/>
          <w:sz w:val="32"/>
          <w:szCs w:val="32"/>
          <w:highlight w:val="none"/>
          <w:lang w:val="en-US" w:eastAsia="zh-CN"/>
        </w:rPr>
        <w:t>拟在地块外安排落实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给上述被征地</w:t>
      </w:r>
      <w:r>
        <w:rPr>
          <w:rFonts w:hint="default" w:ascii="Times New Roman" w:hAnsi="Times New Roman" w:eastAsia="仿宋_GB2312" w:cs="Times New Roman"/>
          <w:sz w:val="32"/>
        </w:rPr>
        <w:t>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bookmarkStart w:id="0" w:name="_GoBack"/>
      <w:bookmarkEnd w:id="0"/>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YmU0MTFhYTU5ZWI2NGZiZTg3YWIwNjg3ZTE3NTQ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BF56F3"/>
    <w:rsid w:val="047D565D"/>
    <w:rsid w:val="048E01FF"/>
    <w:rsid w:val="09373001"/>
    <w:rsid w:val="0B017B66"/>
    <w:rsid w:val="0C4869FB"/>
    <w:rsid w:val="0E8E79F1"/>
    <w:rsid w:val="0F036D42"/>
    <w:rsid w:val="0F7468AC"/>
    <w:rsid w:val="10C95C7C"/>
    <w:rsid w:val="175775B7"/>
    <w:rsid w:val="1AAE50AD"/>
    <w:rsid w:val="1B67425E"/>
    <w:rsid w:val="201F2242"/>
    <w:rsid w:val="216F57DF"/>
    <w:rsid w:val="24E442BA"/>
    <w:rsid w:val="251454D0"/>
    <w:rsid w:val="289B209A"/>
    <w:rsid w:val="2BD55167"/>
    <w:rsid w:val="2C302BC5"/>
    <w:rsid w:val="2C9659B9"/>
    <w:rsid w:val="2EF0642D"/>
    <w:rsid w:val="2F1124AC"/>
    <w:rsid w:val="333D0568"/>
    <w:rsid w:val="3C38025F"/>
    <w:rsid w:val="3C992538"/>
    <w:rsid w:val="3EE7627F"/>
    <w:rsid w:val="3F3A5E5C"/>
    <w:rsid w:val="3F3B12E2"/>
    <w:rsid w:val="42B31A3C"/>
    <w:rsid w:val="43232767"/>
    <w:rsid w:val="45296E84"/>
    <w:rsid w:val="46212862"/>
    <w:rsid w:val="469601E4"/>
    <w:rsid w:val="46B93A18"/>
    <w:rsid w:val="47C40AA6"/>
    <w:rsid w:val="494E5AF8"/>
    <w:rsid w:val="4B3F663F"/>
    <w:rsid w:val="4B442BE5"/>
    <w:rsid w:val="4F022724"/>
    <w:rsid w:val="50082F1B"/>
    <w:rsid w:val="53CB23A2"/>
    <w:rsid w:val="558F35EE"/>
    <w:rsid w:val="572C1E49"/>
    <w:rsid w:val="58021AF1"/>
    <w:rsid w:val="5F19102D"/>
    <w:rsid w:val="622845F4"/>
    <w:rsid w:val="69CF412D"/>
    <w:rsid w:val="6A2503CE"/>
    <w:rsid w:val="6B3D53FB"/>
    <w:rsid w:val="6D4C5CE1"/>
    <w:rsid w:val="6DC738F3"/>
    <w:rsid w:val="6E8A201D"/>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1150</Words>
  <Characters>1441</Characters>
  <Lines>10</Lines>
  <Paragraphs>2</Paragraphs>
  <TotalTime>97</TotalTime>
  <ScaleCrop>false</ScaleCrop>
  <LinksUpToDate>false</LinksUpToDate>
  <CharactersWithSpaces>1499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李梓欣</cp:lastModifiedBy>
  <cp:lastPrinted>2022-11-05T02:52:14Z</cp:lastPrinted>
  <dcterms:modified xsi:type="dcterms:W3CDTF">2022-11-05T03:26:18Z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