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60"/>
          <w:tab w:val="left" w:pos="2340"/>
          <w:tab w:val="left" w:pos="6480"/>
        </w:tabs>
        <w:spacing w:line="579" w:lineRule="exact"/>
        <w:ind w:right="23" w:rightChars="11"/>
        <w:rPr>
          <w:rFonts w:hint="default" w:ascii="Times New Roman" w:hAnsi="Times New Roman" w:eastAsia="仿宋_GB2312" w:cs="Times New Roman"/>
          <w:sz w:val="32"/>
          <w:szCs w:val="32"/>
          <w:shd w:val="clear" w:color="auto" w:fill="FFFFFF"/>
          <w:lang w:val="en-US" w:eastAsia="zh-CN"/>
        </w:rPr>
      </w:pPr>
      <w:bookmarkStart w:id="0" w:name="_GoBack"/>
      <w:bookmarkEnd w:id="0"/>
      <w:r>
        <w:rPr>
          <w:rFonts w:hint="default" w:ascii="Times New Roman" w:hAnsi="Times New Roman" w:eastAsia="仿宋_GB2312" w:cs="Times New Roman"/>
          <w:sz w:val="32"/>
          <w:szCs w:val="32"/>
          <w:shd w:val="clear" w:color="auto" w:fill="FFFFFF"/>
          <w:lang w:val="en-US" w:eastAsia="zh-CN"/>
        </w:rPr>
        <w:t>附件1</w:t>
      </w:r>
    </w:p>
    <w:p>
      <w:pPr>
        <w:adjustRightInd w:val="0"/>
        <w:snapToGrid w:val="0"/>
        <w:jc w:val="center"/>
        <w:rPr>
          <w:rFonts w:hint="default" w:ascii="Times New Roman" w:hAnsi="Times New Roman" w:eastAsia="方正小标宋简体" w:cs="Times New Roman"/>
          <w:color w:val="000000"/>
          <w:sz w:val="44"/>
          <w:szCs w:val="44"/>
        </w:rPr>
      </w:pP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关于</w:t>
      </w:r>
      <w:r>
        <w:rPr>
          <w:rFonts w:hint="default" w:ascii="Times New Roman" w:hAnsi="Times New Roman" w:eastAsia="方正小标宋简体" w:cs="Times New Roman"/>
          <w:color w:val="000000"/>
          <w:sz w:val="44"/>
          <w:szCs w:val="44"/>
          <w:lang w:val="en-US" w:eastAsia="zh-CN"/>
        </w:rPr>
        <w:t>广州市黄埔区（中新广州知识城）</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2022年度第二十五批次</w:t>
      </w:r>
      <w:r>
        <w:rPr>
          <w:rFonts w:hint="default" w:ascii="Times New Roman" w:hAnsi="Times New Roman" w:eastAsia="方正小标宋简体" w:cs="Times New Roman"/>
          <w:color w:val="000000"/>
          <w:sz w:val="44"/>
          <w:szCs w:val="44"/>
          <w:lang w:val="en-US" w:eastAsia="zh-CN"/>
        </w:rPr>
        <w:t>城镇建设用地</w:t>
      </w:r>
    </w:p>
    <w:p>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p>
    <w:p>
      <w:pPr>
        <w:spacing w:line="500" w:lineRule="exact"/>
        <w:rPr>
          <w:rFonts w:hint="default" w:ascii="Times New Roman" w:hAnsi="Times New Roman" w:eastAsia="仿宋_GB2312" w:cs="Times New Roman"/>
          <w:sz w:val="32"/>
          <w:szCs w:val="32"/>
        </w:rPr>
      </w:pP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为实施中新广州知识城建设规划，完善城市功能，改善城市环境，促进经济、文化发展，我区拟征收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龙湖街何棠下村经济联合社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0.3650</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根据《中华人民共和国土地管理法》第二条、第四十五条、第四十七条有关规定精神、《广东省实施〈中华人民共和国土地管理法〉办法》等规定，结合我区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pPr>
        <w:tabs>
          <w:tab w:val="left" w:pos="2160"/>
          <w:tab w:val="left" w:pos="2340"/>
          <w:tab w:val="left" w:pos="6480"/>
        </w:tabs>
        <w:spacing w:line="579"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一、征收集体土地情况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bidi="ar"/>
        </w:rPr>
      </w:pPr>
      <w:r>
        <w:rPr>
          <w:rFonts w:hint="default" w:ascii="Times New Roman" w:hAnsi="Times New Roman" w:eastAsia="仿宋_GB2312" w:cs="Times New Roman"/>
          <w:sz w:val="32"/>
          <w:szCs w:val="32"/>
        </w:rPr>
        <w:t>该项目</w:t>
      </w:r>
      <w:r>
        <w:rPr>
          <w:rFonts w:hint="default" w:ascii="Times New Roman" w:hAnsi="Times New Roman" w:eastAsia="仿宋_GB2312" w:cs="Times New Roman"/>
          <w:sz w:val="32"/>
          <w:szCs w:val="32"/>
          <w:lang w:val="en-US" w:eastAsia="zh-CN"/>
        </w:rPr>
        <w:t>征收</w:t>
      </w:r>
      <w:r>
        <w:rPr>
          <w:rFonts w:hint="default" w:ascii="Times New Roman" w:hAnsi="Times New Roman" w:eastAsia="仿宋_GB2312" w:cs="Times New Roman"/>
          <w:color w:val="000000"/>
          <w:sz w:val="32"/>
          <w:szCs w:val="32"/>
          <w:lang w:bidi="ar"/>
        </w:rPr>
        <w:t>广州市黄埔区</w:t>
      </w:r>
      <w:r>
        <w:rPr>
          <w:rFonts w:hint="eastAsia" w:ascii="Times New Roman" w:hAnsi="Times New Roman" w:eastAsia="仿宋_GB2312" w:cs="Times New Roman"/>
          <w:color w:val="auto"/>
          <w:sz w:val="32"/>
          <w:szCs w:val="32"/>
          <w:highlight w:val="none"/>
          <w:lang w:val="en-US" w:eastAsia="zh-CN" w:bidi="ar"/>
        </w:rPr>
        <w:t>龙湖街何棠下村经济联合社</w:t>
      </w:r>
      <w:r>
        <w:rPr>
          <w:rFonts w:hint="default" w:ascii="Times New Roman" w:hAnsi="Times New Roman" w:eastAsia="仿宋_GB2312" w:cs="Times New Roman"/>
          <w:color w:val="000000"/>
          <w:sz w:val="32"/>
          <w:szCs w:val="32"/>
          <w:lang w:val="en-US" w:eastAsia="zh-CN" w:bidi="ar"/>
        </w:rPr>
        <w:t>属下</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0.3650</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，其中</w:t>
      </w:r>
      <w:r>
        <w:rPr>
          <w:rFonts w:hint="default" w:ascii="Times New Roman" w:hAnsi="Times New Roman" w:eastAsia="仿宋_GB2312" w:cs="Times New Roman"/>
          <w:color w:val="000000"/>
          <w:sz w:val="32"/>
          <w:szCs w:val="32"/>
          <w:lang w:bidi="ar"/>
        </w:rPr>
        <w:t>农用地</w:t>
      </w:r>
      <w:r>
        <w:rPr>
          <w:rFonts w:hint="eastAsia" w:ascii="Times New Roman" w:hAnsi="Times New Roman" w:eastAsia="仿宋_GB2312" w:cs="Times New Roman"/>
          <w:color w:val="000000"/>
          <w:sz w:val="32"/>
          <w:szCs w:val="32"/>
          <w:lang w:val="en-US" w:eastAsia="zh-CN" w:bidi="ar"/>
        </w:rPr>
        <w:t>0.3646</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耕地</w:t>
      </w:r>
      <w:r>
        <w:rPr>
          <w:rFonts w:hint="eastAsia" w:ascii="Times New Roman" w:hAnsi="Times New Roman" w:eastAsia="仿宋_GB2312" w:cs="Times New Roman"/>
          <w:color w:val="000000"/>
          <w:sz w:val="32"/>
          <w:szCs w:val="32"/>
          <w:lang w:val="en-US" w:eastAsia="zh-CN" w:bidi="ar"/>
        </w:rPr>
        <w:t>0.0371公顷、园地0.1790</w:t>
      </w:r>
      <w:r>
        <w:rPr>
          <w:rFonts w:hint="default" w:ascii="Times New Roman" w:hAnsi="Times New Roman" w:eastAsia="仿宋_GB2312" w:cs="Times New Roman"/>
          <w:color w:val="000000"/>
          <w:sz w:val="32"/>
          <w:szCs w:val="32"/>
          <w:lang w:bidi="ar"/>
        </w:rPr>
        <w:t>公顷</w:t>
      </w:r>
      <w:r>
        <w:rPr>
          <w:rFonts w:hint="eastAsia" w:ascii="Times New Roman" w:hAnsi="Times New Roman" w:eastAsia="仿宋_GB2312" w:cs="Times New Roman"/>
          <w:color w:val="000000"/>
          <w:sz w:val="32"/>
          <w:szCs w:val="32"/>
          <w:lang w:eastAsia="zh-CN" w:bidi="ar"/>
        </w:rPr>
        <w:t>、其他农用地</w:t>
      </w:r>
      <w:r>
        <w:rPr>
          <w:rFonts w:hint="eastAsia" w:ascii="Times New Roman" w:hAnsi="Times New Roman" w:eastAsia="仿宋_GB2312" w:cs="Times New Roman"/>
          <w:color w:val="000000"/>
          <w:sz w:val="32"/>
          <w:szCs w:val="32"/>
          <w:lang w:val="en-US" w:eastAsia="zh-CN" w:bidi="ar"/>
        </w:rPr>
        <w:t>0.1485公顷</w:t>
      </w:r>
      <w:r>
        <w:rPr>
          <w:rFonts w:hint="default" w:ascii="Times New Roman" w:hAnsi="Times New Roman" w:eastAsia="仿宋_GB2312" w:cs="Times New Roman"/>
          <w:color w:val="000000"/>
          <w:sz w:val="32"/>
          <w:szCs w:val="32"/>
          <w:lang w:bidi="ar"/>
        </w:rPr>
        <w:t>)</w:t>
      </w:r>
      <w:r>
        <w:rPr>
          <w:rFonts w:hint="eastAsia" w:ascii="Times New Roman" w:hAnsi="Times New Roman" w:eastAsia="仿宋_GB2312" w:cs="Times New Roman"/>
          <w:color w:val="000000"/>
          <w:sz w:val="32"/>
          <w:szCs w:val="32"/>
          <w:lang w:eastAsia="zh-CN" w:bidi="ar"/>
        </w:rPr>
        <w:t>、建设用地</w:t>
      </w:r>
      <w:r>
        <w:rPr>
          <w:rFonts w:hint="eastAsia" w:ascii="Times New Roman" w:hAnsi="Times New Roman" w:eastAsia="仿宋_GB2312" w:cs="Times New Roman"/>
          <w:color w:val="000000"/>
          <w:sz w:val="32"/>
          <w:szCs w:val="32"/>
          <w:lang w:val="en-US" w:eastAsia="zh-CN" w:bidi="ar"/>
        </w:rPr>
        <w:t>0.0004</w:t>
      </w:r>
      <w:r>
        <w:rPr>
          <w:rFonts w:hint="default" w:ascii="Times New Roman" w:hAnsi="Times New Roman" w:eastAsia="仿宋_GB2312" w:cs="Times New Roman"/>
          <w:color w:val="000000"/>
          <w:sz w:val="32"/>
          <w:szCs w:val="32"/>
          <w:lang w:bidi="ar"/>
        </w:rPr>
        <w:t>公顷。</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000000"/>
          <w:sz w:val="32"/>
          <w:szCs w:val="32"/>
          <w:lang w:val="en-US" w:eastAsia="zh-CN" w:bidi="ar"/>
        </w:rPr>
      </w:pPr>
      <w:r>
        <w:rPr>
          <w:rFonts w:hint="default" w:ascii="Times New Roman" w:hAnsi="Times New Roman" w:eastAsia="仿宋_GB2312" w:cs="Times New Roman"/>
          <w:color w:val="000000"/>
          <w:sz w:val="32"/>
          <w:szCs w:val="32"/>
          <w:lang w:val="en-US" w:eastAsia="zh-CN" w:bidi="ar"/>
        </w:rPr>
        <w:t>征地补偿标准</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土地补偿和安置补助</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土地补偿费与安置补偿费一览表</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（单位：公顷、万元/公顷、万元）</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default" w:ascii="Times New Roman" w:hAnsi="Times New Roman" w:eastAsia="仿宋_GB2312" w:cs="Times New Roman"/>
          <w:b/>
          <w:bCs/>
          <w:sz w:val="28"/>
          <w:szCs w:val="28"/>
          <w:lang w:val="en-US" w:eastAsia="zh-CN"/>
        </w:rPr>
      </w:pPr>
    </w:p>
    <w:tbl>
      <w:tblPr>
        <w:tblStyle w:val="3"/>
        <w:tblW w:w="93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78"/>
        <w:gridCol w:w="765"/>
        <w:gridCol w:w="1065"/>
        <w:gridCol w:w="795"/>
        <w:gridCol w:w="1215"/>
        <w:gridCol w:w="750"/>
        <w:gridCol w:w="1155"/>
        <w:gridCol w:w="11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3" w:hRule="atLeast"/>
          <w:tblHeader/>
          <w:jc w:val="center"/>
        </w:trPr>
        <w:tc>
          <w:tcPr>
            <w:tcW w:w="2478"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被征地单位</w:t>
            </w:r>
          </w:p>
        </w:tc>
        <w:tc>
          <w:tcPr>
            <w:tcW w:w="7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土地类别</w:t>
            </w:r>
          </w:p>
        </w:tc>
        <w:tc>
          <w:tcPr>
            <w:tcW w:w="1065"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面积</w:t>
            </w:r>
          </w:p>
        </w:tc>
        <w:tc>
          <w:tcPr>
            <w:tcW w:w="2010"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土地补偿</w:t>
            </w:r>
            <w:r>
              <w:rPr>
                <w:rFonts w:hint="default" w:ascii="Times New Roman" w:hAnsi="Times New Roman" w:eastAsia="仿宋_GB2312" w:cs="Times New Roman"/>
                <w:b/>
                <w:bCs/>
                <w:color w:val="000000"/>
                <w:kern w:val="0"/>
                <w:sz w:val="22"/>
                <w:szCs w:val="22"/>
                <w:lang w:val="en-US" w:eastAsia="zh-CN"/>
              </w:rPr>
              <w:t>费</w:t>
            </w:r>
          </w:p>
        </w:tc>
        <w:tc>
          <w:tcPr>
            <w:tcW w:w="1905" w:type="dxa"/>
            <w:gridSpan w:val="2"/>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eastAsia="zh-CN"/>
              </w:rPr>
            </w:pPr>
            <w:r>
              <w:rPr>
                <w:rFonts w:hint="default" w:ascii="Times New Roman" w:hAnsi="Times New Roman" w:eastAsia="仿宋_GB2312" w:cs="Times New Roman"/>
                <w:b/>
                <w:bCs/>
                <w:color w:val="000000"/>
                <w:kern w:val="0"/>
                <w:sz w:val="22"/>
                <w:szCs w:val="22"/>
              </w:rPr>
              <w:t>安置补助</w:t>
            </w:r>
            <w:r>
              <w:rPr>
                <w:rFonts w:hint="default" w:ascii="Times New Roman" w:hAnsi="Times New Roman" w:eastAsia="仿宋_GB2312" w:cs="Times New Roman"/>
                <w:b/>
                <w:bCs/>
                <w:color w:val="000000"/>
                <w:kern w:val="0"/>
                <w:sz w:val="22"/>
                <w:szCs w:val="22"/>
                <w:lang w:val="en-US" w:eastAsia="zh-CN"/>
              </w:rPr>
              <w:t>费</w:t>
            </w:r>
          </w:p>
        </w:tc>
        <w:tc>
          <w:tcPr>
            <w:tcW w:w="1156" w:type="dxa"/>
            <w:vMerge w:val="restart"/>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7" w:hRule="atLeast"/>
          <w:tblHeader/>
          <w:jc w:val="center"/>
        </w:trPr>
        <w:tc>
          <w:tcPr>
            <w:tcW w:w="2478"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1065" w:type="dxa"/>
            <w:vMerge w:val="continue"/>
            <w:tcBorders>
              <w:tl2br w:val="nil"/>
              <w:tr2bl w:val="nil"/>
            </w:tcBorders>
            <w:noWrap w:val="0"/>
            <w:vAlign w:val="center"/>
          </w:tcPr>
          <w:p>
            <w:pPr>
              <w:widowControl/>
              <w:jc w:val="left"/>
              <w:rPr>
                <w:rFonts w:hint="default" w:ascii="Times New Roman" w:hAnsi="Times New Roman" w:eastAsia="仿宋_GB2312" w:cs="Times New Roman"/>
                <w:b/>
                <w:bCs/>
                <w:color w:val="000000"/>
                <w:kern w:val="0"/>
                <w:sz w:val="22"/>
                <w:szCs w:val="22"/>
              </w:rPr>
            </w:pPr>
          </w:p>
        </w:tc>
        <w:tc>
          <w:tcPr>
            <w:tcW w:w="79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21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750"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r>
              <w:rPr>
                <w:rFonts w:hint="default" w:ascii="Times New Roman" w:hAnsi="Times New Roman" w:eastAsia="仿宋_GB2312" w:cs="Times New Roman"/>
                <w:b/>
                <w:bCs/>
                <w:color w:val="000000"/>
                <w:kern w:val="0"/>
                <w:sz w:val="22"/>
                <w:szCs w:val="22"/>
                <w:lang w:val="en-US" w:eastAsia="zh-CN"/>
              </w:rPr>
              <w:t>补偿</w:t>
            </w:r>
            <w:r>
              <w:rPr>
                <w:rFonts w:hint="default" w:ascii="Times New Roman" w:hAnsi="Times New Roman" w:eastAsia="仿宋_GB2312" w:cs="Times New Roman"/>
                <w:b/>
                <w:bCs/>
                <w:color w:val="000000"/>
                <w:kern w:val="0"/>
                <w:sz w:val="22"/>
                <w:szCs w:val="22"/>
              </w:rPr>
              <w:t>标准</w:t>
            </w:r>
          </w:p>
        </w:tc>
        <w:tc>
          <w:tcPr>
            <w:tcW w:w="1155" w:type="dxa"/>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lang w:val="en-US"/>
              </w:rPr>
            </w:pPr>
            <w:r>
              <w:rPr>
                <w:rFonts w:hint="default" w:ascii="Times New Roman" w:hAnsi="Times New Roman" w:eastAsia="仿宋_GB2312" w:cs="Times New Roman"/>
                <w:b/>
                <w:bCs/>
                <w:color w:val="000000"/>
                <w:kern w:val="0"/>
                <w:sz w:val="22"/>
                <w:szCs w:val="22"/>
                <w:lang w:val="en-US" w:eastAsia="zh-CN"/>
              </w:rPr>
              <w:t>补偿金额</w:t>
            </w:r>
          </w:p>
        </w:tc>
        <w:tc>
          <w:tcPr>
            <w:tcW w:w="1156" w:type="dxa"/>
            <w:vMerge w:val="continue"/>
            <w:tcBorders>
              <w:tl2br w:val="nil"/>
              <w:tr2bl w:val="nil"/>
            </w:tcBorders>
            <w:noWrap w:val="0"/>
            <w:vAlign w:val="center"/>
          </w:tcPr>
          <w:p>
            <w:pPr>
              <w:widowControl/>
              <w:jc w:val="center"/>
              <w:rPr>
                <w:rFonts w:hint="default" w:ascii="Times New Roman" w:hAnsi="Times New Roman" w:eastAsia="仿宋_GB2312" w:cs="Times New Roman"/>
                <w:b/>
                <w:bCs/>
                <w:color w:val="000000"/>
                <w:kern w:val="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4" w:hRule="atLeast"/>
          <w:jc w:val="center"/>
        </w:trPr>
        <w:tc>
          <w:tcPr>
            <w:tcW w:w="2478" w:type="dxa"/>
            <w:tcBorders>
              <w:tl2br w:val="nil"/>
              <w:tr2bl w:val="nil"/>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广州市黄埔区龙湖街何棠下村经济联合社</w:t>
            </w:r>
          </w:p>
        </w:tc>
        <w:tc>
          <w:tcPr>
            <w:tcW w:w="76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i w:val="0"/>
                <w:iCs w:val="0"/>
                <w:color w:val="000000"/>
                <w:kern w:val="0"/>
                <w:sz w:val="22"/>
                <w:szCs w:val="22"/>
                <w:u w:val="none"/>
                <w:lang w:val="en-US" w:eastAsia="zh-CN" w:bidi="ar"/>
              </w:rPr>
              <w:t>集体土地</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0.3650</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70.2</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25.6230</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124.8</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45.5520</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71.1750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8" w:hRule="atLeast"/>
          <w:jc w:val="center"/>
        </w:trPr>
        <w:tc>
          <w:tcPr>
            <w:tcW w:w="3243" w:type="dxa"/>
            <w:gridSpan w:val="2"/>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color w:val="000000"/>
                <w:kern w:val="0"/>
                <w:sz w:val="22"/>
                <w:szCs w:val="22"/>
                <w:lang w:val="en-US" w:eastAsia="zh-CN"/>
              </w:rPr>
            </w:pPr>
            <w:r>
              <w:rPr>
                <w:rFonts w:hint="eastAsia" w:ascii="仿宋_GB2312" w:hAnsi="仿宋_GB2312" w:eastAsia="仿宋_GB2312" w:cs="仿宋_GB2312"/>
                <w:b/>
                <w:bCs/>
                <w:i w:val="0"/>
                <w:iCs w:val="0"/>
                <w:color w:val="000000"/>
                <w:kern w:val="0"/>
                <w:sz w:val="22"/>
                <w:szCs w:val="22"/>
                <w:u w:val="none"/>
                <w:lang w:val="en-US" w:eastAsia="zh-CN" w:bidi="ar"/>
              </w:rPr>
              <w:t>合计</w:t>
            </w:r>
          </w:p>
        </w:tc>
        <w:tc>
          <w:tcPr>
            <w:tcW w:w="106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0.3650</w:t>
            </w:r>
          </w:p>
        </w:tc>
        <w:tc>
          <w:tcPr>
            <w:tcW w:w="7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21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25.6230</w:t>
            </w:r>
          </w:p>
        </w:tc>
        <w:tc>
          <w:tcPr>
            <w:tcW w:w="7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default" w:ascii="Times New Roman" w:hAnsi="Times New Roman" w:eastAsia="宋体" w:cs="Times New Roman"/>
                <w:b/>
                <w:bCs/>
                <w:i w:val="0"/>
                <w:iCs w:val="0"/>
                <w:color w:val="000000"/>
                <w:kern w:val="0"/>
                <w:sz w:val="22"/>
                <w:szCs w:val="22"/>
                <w:u w:val="none"/>
                <w:lang w:val="en-US" w:eastAsia="zh-CN" w:bidi="ar"/>
              </w:rPr>
              <w:t>—</w:t>
            </w:r>
          </w:p>
        </w:tc>
        <w:tc>
          <w:tcPr>
            <w:tcW w:w="115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45.5520</w:t>
            </w:r>
          </w:p>
        </w:tc>
        <w:tc>
          <w:tcPr>
            <w:tcW w:w="1156"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FF0000"/>
                <w:kern w:val="0"/>
                <w:sz w:val="20"/>
                <w:szCs w:val="20"/>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71.1750</w:t>
            </w:r>
          </w:p>
        </w:tc>
      </w:tr>
    </w:tbl>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青苗</w:t>
      </w:r>
      <w:r>
        <w:rPr>
          <w:rFonts w:hint="default" w:ascii="Times New Roman" w:hAnsi="Times New Roman" w:eastAsia="仿宋_GB2312" w:cs="Times New Roman"/>
          <w:color w:val="000000"/>
          <w:sz w:val="32"/>
          <w:szCs w:val="32"/>
          <w:lang w:val="en-US" w:eastAsia="zh-CN"/>
        </w:rPr>
        <w:t>补偿费</w:t>
      </w:r>
      <w:r>
        <w:rPr>
          <w:rFonts w:hint="eastAsia" w:ascii="Times New Roman" w:hAnsi="Times New Roman" w:eastAsia="仿宋_GB2312" w:cs="Times New Roman"/>
          <w:color w:val="000000"/>
          <w:sz w:val="32"/>
          <w:szCs w:val="32"/>
          <w:lang w:val="en-US" w:eastAsia="zh-CN"/>
        </w:rPr>
        <w:t>及地上附着物补助费共</w:t>
      </w:r>
      <w:r>
        <w:rPr>
          <w:rFonts w:hint="eastAsia" w:ascii="Times New Roman" w:hAnsi="Times New Roman" w:eastAsia="宋体" w:cs="Times New Roman"/>
          <w:i w:val="0"/>
          <w:color w:val="000000"/>
          <w:kern w:val="0"/>
          <w:sz w:val="32"/>
          <w:szCs w:val="32"/>
          <w:u w:val="none"/>
          <w:lang w:val="en-US" w:eastAsia="zh-CN" w:bidi="ar"/>
        </w:rPr>
        <w:t>23.5425</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sz w:val="32"/>
          <w:szCs w:val="32"/>
        </w:rPr>
        <w:t>。</w:t>
      </w:r>
    </w:p>
    <w:p>
      <w:pPr>
        <w:numPr>
          <w:ilvl w:val="0"/>
          <w:numId w:val="2"/>
        </w:numPr>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农业人口安置。</w:t>
      </w:r>
      <w:r>
        <w:rPr>
          <w:rFonts w:hint="default" w:ascii="Times New Roman" w:hAnsi="Times New Roman" w:eastAsia="仿宋_GB2312" w:cs="Times New Roman"/>
          <w:color w:val="000000"/>
          <w:sz w:val="32"/>
          <w:szCs w:val="32"/>
        </w:rPr>
        <w:t>本次征收土地所涉及的被安置农业人员由被征地村以货币补偿的形式安置。征地批复后，由被征地农村经济经济组织在征地公告期内到</w:t>
      </w:r>
      <w:r>
        <w:rPr>
          <w:rFonts w:hint="default" w:ascii="Times New Roman" w:hAnsi="Times New Roman" w:eastAsia="仿宋_GB2312" w:cs="Times New Roman"/>
          <w:sz w:val="32"/>
          <w:szCs w:val="32"/>
        </w:rPr>
        <w:t>广州开发区规划和自然资源</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color w:val="000000"/>
          <w:sz w:val="32"/>
          <w:szCs w:val="32"/>
        </w:rPr>
        <w:t>领取办理安置农业人口征地农转非手续的函件。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安置措施情况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为妥善安置被征地农民，切实解决被征地农民的生产生活出路，在保证货币安置落实的同时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根据留用地安置的相关</w:t>
      </w:r>
      <w:r>
        <w:rPr>
          <w:rFonts w:hint="default" w:ascii="Times New Roman" w:hAnsi="Times New Roman" w:eastAsia="仿宋_GB2312" w:cs="Times New Roman"/>
          <w:sz w:val="32"/>
          <w:szCs w:val="32"/>
          <w:lang w:val="en-US" w:eastAsia="zh-CN"/>
        </w:rPr>
        <w:t>文件</w:t>
      </w:r>
      <w:r>
        <w:rPr>
          <w:rFonts w:hint="default" w:ascii="Times New Roman" w:hAnsi="Times New Roman" w:eastAsia="仿宋_GB2312" w:cs="Times New Roman"/>
          <w:sz w:val="32"/>
          <w:szCs w:val="32"/>
        </w:rPr>
        <w:t>规定，我区将按</w:t>
      </w:r>
      <w:r>
        <w:rPr>
          <w:rFonts w:hint="default" w:ascii="Times New Roman" w:hAnsi="Times New Roman" w:eastAsia="仿宋_GB2312" w:cs="Times New Roman"/>
          <w:sz w:val="32"/>
          <w:szCs w:val="32"/>
          <w:lang w:eastAsia="zh-CN"/>
        </w:rPr>
        <w:t>实际征收</w:t>
      </w:r>
      <w:r>
        <w:rPr>
          <w:rFonts w:hint="default" w:ascii="Times New Roman" w:hAnsi="Times New Roman" w:eastAsia="仿宋_GB2312" w:cs="Times New Roman"/>
          <w:sz w:val="32"/>
          <w:szCs w:val="32"/>
        </w:rPr>
        <w:t>面积的</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rPr>
        <w:t>10%</w:t>
      </w:r>
      <w:r>
        <w:rPr>
          <w:rFonts w:hint="default" w:ascii="Times New Roman" w:hAnsi="Times New Roman" w:eastAsia="仿宋_GB2312" w:cs="Times New Roman"/>
          <w:sz w:val="32"/>
          <w:szCs w:val="32"/>
        </w:rPr>
        <w:t>安排村集体留用地</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highlight w:val="none"/>
          <w:lang w:val="en-US" w:eastAsia="zh-CN"/>
        </w:rPr>
        <w:t>已在该批次用地红线范围外安排解决</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给上述被征地农民落实基本养老保障和培训就业等社会保障措施，确保被征地农民的原有生活水平不降低，长远生计有保障，具体将按省的征地社会保障实施方案办理。</w:t>
      </w:r>
    </w:p>
    <w:p>
      <w:pPr>
        <w:rPr>
          <w:rFonts w:hint="default" w:ascii="Times New Roman" w:hAnsi="Times New Roman" w:eastAsia="仿宋_GB2312" w:cs="Times New Roman"/>
          <w:sz w:val="32"/>
          <w:szCs w:val="32"/>
        </w:rPr>
      </w:pPr>
    </w:p>
    <w:p>
      <w:pPr>
        <w:pStyle w:val="5"/>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pPr>
        <w:spacing w:line="560" w:lineRule="exact"/>
        <w:ind w:right="280"/>
        <w:jc w:val="both"/>
        <w:rPr>
          <w:rFonts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24</w:t>
      </w:r>
      <w:r>
        <w:rPr>
          <w:rFonts w:ascii="Times New Roman" w:hAnsi="Times New Roman" w:eastAsia="仿宋_GB2312" w:cs="Times New Roman"/>
          <w:sz w:val="32"/>
          <w:szCs w:val="32"/>
        </w:rPr>
        <w:t>日</w:t>
      </w:r>
    </w:p>
    <w:p>
      <w:pPr>
        <w:spacing w:line="240" w:lineRule="auto"/>
        <w:ind w:right="0"/>
        <w:jc w:val="left"/>
      </w:pP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5E5F31"/>
    <w:multiLevelType w:val="singleLevel"/>
    <w:tmpl w:val="805E5F31"/>
    <w:lvl w:ilvl="0" w:tentative="0">
      <w:start w:val="1"/>
      <w:numFmt w:val="chineseCounting"/>
      <w:suff w:val="nothing"/>
      <w:lvlText w:val="（%1）"/>
      <w:lvlJc w:val="left"/>
      <w:rPr>
        <w:rFonts w:hint="eastAsia"/>
      </w:rPr>
    </w:lvl>
  </w:abstractNum>
  <w:abstractNum w:abstractNumId="1">
    <w:nsid w:val="3195F1B0"/>
    <w:multiLevelType w:val="singleLevel"/>
    <w:tmpl w:val="3195F1B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04891"/>
    <w:rsid w:val="05505D3B"/>
    <w:rsid w:val="15A04B92"/>
    <w:rsid w:val="1B767B1A"/>
    <w:rsid w:val="1CD60B22"/>
    <w:rsid w:val="23A44668"/>
    <w:rsid w:val="2591116E"/>
    <w:rsid w:val="2B2D7CFF"/>
    <w:rsid w:val="2F0729B2"/>
    <w:rsid w:val="31D71FA4"/>
    <w:rsid w:val="346C2C64"/>
    <w:rsid w:val="372D1306"/>
    <w:rsid w:val="3AD67F17"/>
    <w:rsid w:val="3B3E256A"/>
    <w:rsid w:val="3EB6026E"/>
    <w:rsid w:val="3EC142D3"/>
    <w:rsid w:val="43CF14AC"/>
    <w:rsid w:val="463E4B52"/>
    <w:rsid w:val="4BFB3F06"/>
    <w:rsid w:val="4CE92F1D"/>
    <w:rsid w:val="4D8B5B2D"/>
    <w:rsid w:val="4EB627D7"/>
    <w:rsid w:val="502256AF"/>
    <w:rsid w:val="56E2205A"/>
    <w:rsid w:val="5D2A07BB"/>
    <w:rsid w:val="616D2B68"/>
    <w:rsid w:val="68D63CB7"/>
    <w:rsid w:val="6B2B0BFD"/>
    <w:rsid w:val="6C5E66E4"/>
    <w:rsid w:val="6F904891"/>
    <w:rsid w:val="7CC22F5B"/>
    <w:rsid w:val="7F0E7F33"/>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花生</cp:lastModifiedBy>
  <cp:lastPrinted>2022-09-01T06:59:00Z</cp:lastPrinted>
  <dcterms:modified xsi:type="dcterms:W3CDTF">2022-12-09T06:37:39Z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5B9232B0420C4099A1D401C4350B46CD</vt:lpwstr>
  </property>
</Properties>
</file>