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spacing w:line="240" w:lineRule="auto"/>
        <w:ind w:left="0" w:leftChars="0" w:firstLine="0" w:firstLineChars="0"/>
        <w:jc w:val="center"/>
        <w:rPr>
          <w:rFonts w:hint="default"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关于茶塘工业园地块（二期）分地块</w:t>
      </w:r>
      <w:r>
        <w:rPr>
          <w:rFonts w:hint="eastAsia" w:ascii="方正小标宋简体" w:hAnsi="方正小标宋简体" w:eastAsia="方正小标宋简体" w:cs="方正小标宋简体"/>
          <w:sz w:val="44"/>
          <w:szCs w:val="44"/>
          <w:highlight w:val="none"/>
          <w:lang w:eastAsia="zh-CN"/>
        </w:rPr>
        <w:t>一</w:t>
      </w:r>
      <w:r>
        <w:rPr>
          <w:rFonts w:hint="eastAsia" w:ascii="方正小标宋简体" w:hAnsi="方正小标宋简体" w:eastAsia="方正小标宋简体" w:cs="方正小标宋简体"/>
          <w:sz w:val="44"/>
          <w:szCs w:val="44"/>
          <w:highlight w:val="none"/>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eastAsia="仿宋_GB2312" w:cs="Times New Roman"/>
          <w:sz w:val="32"/>
          <w:highlight w:val="none"/>
          <w:lang w:val="en-US" w:eastAsia="zh-CN"/>
        </w:rPr>
        <w:t>为实</w:t>
      </w:r>
      <w:r>
        <w:rPr>
          <w:rFonts w:hint="eastAsia" w:eastAsia="仿宋_GB2312" w:cs="Times New Roman"/>
          <w:sz w:val="32"/>
          <w:highlight w:val="none"/>
          <w:lang w:val="en-US" w:eastAsia="zh-CN"/>
        </w:rPr>
        <w:t>施广州市花都区炭步镇建设规划，完善城市功能，改善城市环境，促进经济、文化发展。我区拟征收广州市花都区炭步镇茶塘第二经济合作社，茶塘第九经济合作社，茶塘第六经济合作社、第七经济合作社、第八经济合作社（共有），茶塘第七经济合作社，茶塘第三经济合作社，茶塘第十经济合作社，茶塘第四经济合作社，茶塘第五经济合作社，茶塘第一经济合作社，茶塘经济联合社，面积共计23.2997</w:t>
      </w:r>
      <w:r>
        <w:rPr>
          <w:rFonts w:hint="default" w:eastAsia="仿宋_GB2312" w:cs="Times New Roman"/>
          <w:sz w:val="32"/>
          <w:highlight w:val="none"/>
          <w:lang w:val="en-US" w:eastAsia="zh-CN"/>
        </w:rPr>
        <w:t>公顷。根据《中华人民共和国土地管理法》第二条、第四十五条、第四十七条有关规定精神、《广东省土地管理</w:t>
      </w:r>
      <w:r>
        <w:rPr>
          <w:rFonts w:hint="default" w:ascii="Times New Roman" w:hAnsi="Times New Roman" w:eastAsia="仿宋_GB2312" w:cs="Times New Roman"/>
          <w:sz w:val="32"/>
          <w:highlight w:val="none"/>
        </w:rPr>
        <w:t>条例》第三十条等规定，结合我区的征收农用地区片综合地价和实际情况，拟定了征地补偿安置方案，具体如下：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highlight w:val="none"/>
          <w:lang w:val="en-US" w:eastAsia="zh-CN"/>
        </w:rPr>
      </w:pPr>
      <w:r>
        <w:rPr>
          <w:rFonts w:hint="default" w:ascii="Times New Roman" w:hAnsi="Times New Roman" w:eastAsia="仿宋_GB2312" w:cs="Times New Roman"/>
          <w:sz w:val="32"/>
          <w:highlight w:val="none"/>
        </w:rPr>
        <w:t>征收</w:t>
      </w:r>
      <w:r>
        <w:rPr>
          <w:rFonts w:hint="eastAsia" w:ascii="Times New Roman" w:hAnsi="Times New Roman" w:eastAsia="仿宋_GB2312" w:cs="Times New Roman"/>
          <w:sz w:val="32"/>
          <w:highlight w:val="none"/>
        </w:rPr>
        <w:t>广州市花都区</w:t>
      </w:r>
      <w:r>
        <w:rPr>
          <w:rFonts w:hint="eastAsia" w:eastAsia="仿宋_GB2312" w:cs="Times New Roman"/>
          <w:sz w:val="32"/>
          <w:highlight w:val="none"/>
          <w:lang w:val="en-US" w:eastAsia="zh-CN"/>
        </w:rPr>
        <w:t>炭步镇茶塘村</w:t>
      </w:r>
      <w:r>
        <w:rPr>
          <w:rFonts w:hint="default" w:ascii="Times New Roman" w:hAnsi="Times New Roman" w:eastAsia="仿宋_GB2312" w:cs="Times New Roman"/>
          <w:sz w:val="32"/>
          <w:szCs w:val="32"/>
          <w:highlight w:val="none"/>
        </w:rPr>
        <w:t>集体土地</w:t>
      </w:r>
      <w:r>
        <w:rPr>
          <w:rFonts w:hint="default" w:ascii="Times New Roman" w:hAnsi="Times New Roman" w:eastAsia="仿宋_GB2312" w:cs="Times New Roman"/>
          <w:sz w:val="32"/>
          <w:highlight w:val="none"/>
        </w:rPr>
        <w:t>面积</w:t>
      </w:r>
      <w:r>
        <w:rPr>
          <w:rFonts w:hint="eastAsia" w:eastAsia="仿宋_GB2312" w:cs="Times New Roman"/>
          <w:sz w:val="32"/>
          <w:szCs w:val="32"/>
          <w:highlight w:val="none"/>
          <w:lang w:val="en-US" w:eastAsia="zh-CN"/>
        </w:rPr>
        <w:t>23.2997</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22.0006公顷（耕地1.8863公顷、园地0.0093公顷、林地8.5238公顷、草地9.0215公顷、其他农用地2.5597公顷）、建设用地1.1929公顷、未利用地0.1062公顷。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8"/>
        <w:tblW w:w="968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67"/>
        <w:gridCol w:w="974"/>
        <w:gridCol w:w="1124"/>
        <w:gridCol w:w="992"/>
        <w:gridCol w:w="1163"/>
        <w:gridCol w:w="994"/>
        <w:gridCol w:w="121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209"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297"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215"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297"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1" w:type="dxa"/>
            <w:vMerge w:val="restart"/>
            <w:vAlign w:val="center"/>
          </w:tcPr>
          <w:p>
            <w:pPr>
              <w:widowControl/>
              <w:jc w:val="center"/>
              <w:textAlignment w:val="center"/>
              <w:rPr>
                <w:rFonts w:hint="eastAsia" w:ascii="Times New Roman" w:hAnsi="Times New Roman" w:eastAsia="仿宋_GB2312" w:cs="Times New Roman"/>
                <w:sz w:val="24"/>
                <w:highlight w:val="none"/>
                <w:lang w:eastAsia="zh-CN"/>
              </w:rPr>
            </w:pPr>
            <w:r>
              <w:rPr>
                <w:rFonts w:hint="eastAsia" w:ascii="Times New Roman" w:hAnsi="Times New Roman" w:eastAsia="仿宋_GB2312" w:cs="Times New Roman"/>
                <w:sz w:val="24"/>
                <w:highlight w:val="none"/>
                <w:lang w:val="en-US" w:eastAsia="zh-CN"/>
              </w:rPr>
              <w:t>广州市花都区炭步镇茶塘第二经济合作社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茶塘第九经济合作社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茶塘第六经济合作社、第七经济合作社、第八经济合作社（共有）</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茶塘第七经济合作社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茶塘第三经济合作社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茶塘第十经济合作社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茶塘第四经济合作社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茶塘第五经济合作社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茶塘第一经济合作社</w:t>
            </w:r>
            <w:r>
              <w:rPr>
                <w:rFonts w:hint="eastAsia" w:eastAsia="仿宋_GB2312" w:cs="Times New Roman"/>
                <w:sz w:val="24"/>
                <w:highlight w:val="none"/>
                <w:lang w:val="en-US" w:eastAsia="zh-CN"/>
              </w:rPr>
              <w:t>，</w:t>
            </w:r>
            <w:r>
              <w:rPr>
                <w:rFonts w:hint="eastAsia" w:ascii="Times New Roman" w:hAnsi="Times New Roman" w:eastAsia="仿宋_GB2312" w:cs="Times New Roman"/>
                <w:sz w:val="24"/>
                <w:highlight w:val="none"/>
                <w:lang w:val="en-US" w:eastAsia="zh-CN"/>
              </w:rPr>
              <w:t>茶塘经济联合社</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0.2091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17.25075</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17.25075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34.5015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 </w:t>
            </w:r>
          </w:p>
        </w:tc>
        <w:tc>
          <w:tcPr>
            <w:tcW w:w="992" w:type="dxa"/>
            <w:vAlign w:val="bottom"/>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994" w:type="dxa"/>
            <w:vAlign w:val="bottom"/>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1.6772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138.369</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138.369</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276.7380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园地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0.0093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0.76725</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0.76725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1.5345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8.5238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703.2135</w:t>
            </w:r>
          </w:p>
        </w:tc>
        <w:tc>
          <w:tcPr>
            <w:tcW w:w="99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703.2135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1406.4270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eastAsia" w:ascii="Times New Roman" w:hAnsi="Times New Roman" w:eastAsia="仿宋_GB2312" w:cs="Times New Roman"/>
                <w:sz w:val="24"/>
                <w:highlight w:val="none"/>
                <w:lang w:eastAsia="zh-CN"/>
              </w:rPr>
            </w:pPr>
            <w:r>
              <w:rPr>
                <w:rFonts w:hint="eastAsia" w:eastAsia="仿宋_GB2312" w:cs="Times New Roman"/>
                <w:sz w:val="24"/>
                <w:highlight w:val="none"/>
                <w:lang w:eastAsia="zh-CN"/>
              </w:rPr>
              <w:t>草地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9.0215</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744.27375</w:t>
            </w:r>
          </w:p>
        </w:tc>
        <w:tc>
          <w:tcPr>
            <w:tcW w:w="994"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215"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744.27375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1488.5475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2.5597</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221.17525</w:t>
            </w:r>
          </w:p>
        </w:tc>
        <w:tc>
          <w:tcPr>
            <w:tcW w:w="994"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82.5</w:t>
            </w:r>
          </w:p>
        </w:tc>
        <w:tc>
          <w:tcPr>
            <w:tcW w:w="1215" w:type="dxa"/>
            <w:tcBorders>
              <w:bottom w:val="single" w:color="auto" w:sz="4" w:space="0"/>
            </w:tcBorders>
            <w:vAlign w:val="center"/>
          </w:tcPr>
          <w:p>
            <w:pPr>
              <w:spacing w:line="360" w:lineRule="auto"/>
              <w:jc w:val="center"/>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221.17525</w:t>
            </w: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1910.8980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spacing w:line="360" w:lineRule="auto"/>
              <w:jc w:val="center"/>
              <w:rPr>
                <w:rFonts w:hint="eastAsia"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1.1929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165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196.8285</w:t>
            </w:r>
          </w:p>
        </w:tc>
        <w:tc>
          <w:tcPr>
            <w:tcW w:w="994" w:type="dxa"/>
            <w:tcBorders>
              <w:bottom w:val="single" w:color="auto" w:sz="4" w:space="0"/>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15" w:type="dxa"/>
            <w:tcBorders>
              <w:bottom w:val="single" w:color="auto" w:sz="4" w:space="0"/>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196.8285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0.1062 </w:t>
            </w:r>
          </w:p>
        </w:tc>
        <w:tc>
          <w:tcPr>
            <w:tcW w:w="992"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165</w:t>
            </w:r>
          </w:p>
        </w:tc>
        <w:tc>
          <w:tcPr>
            <w:tcW w:w="1163"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17.523</w:t>
            </w:r>
          </w:p>
        </w:tc>
        <w:tc>
          <w:tcPr>
            <w:tcW w:w="994" w:type="dxa"/>
            <w:tcBorders>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15" w:type="dxa"/>
            <w:tcBorders>
              <w:tl2br w:val="single" w:color="auto" w:sz="4" w:space="0"/>
              <w:tr2bl w:val="nil"/>
            </w:tcBorders>
            <w:vAlign w:val="center"/>
          </w:tcPr>
          <w:p>
            <w:pPr>
              <w:spacing w:line="360" w:lineRule="auto"/>
              <w:jc w:val="center"/>
              <w:rPr>
                <w:rFonts w:hint="default" w:cs="Times New Roman" w:eastAsiaTheme="minorEastAsia"/>
                <w:szCs w:val="21"/>
                <w:highlight w:val="none"/>
                <w:lang w:val="en-US" w:eastAsia="zh-CN"/>
              </w:rPr>
            </w:pPr>
          </w:p>
        </w:tc>
        <w:tc>
          <w:tcPr>
            <w:tcW w:w="1297" w:type="dxa"/>
            <w:vAlign w:val="center"/>
          </w:tcPr>
          <w:p>
            <w:pPr>
              <w:spacing w:line="360" w:lineRule="auto"/>
              <w:jc w:val="center"/>
              <w:rPr>
                <w:rFonts w:hint="default" w:cs="Times New Roman" w:eastAsiaTheme="minorEastAsia"/>
                <w:szCs w:val="21"/>
                <w:highlight w:val="none"/>
                <w:lang w:val="en-US" w:eastAsia="zh-CN"/>
              </w:rPr>
            </w:pPr>
            <w:r>
              <w:rPr>
                <w:rFonts w:hint="default" w:cs="Times New Roman" w:eastAsiaTheme="minorEastAsia"/>
                <w:szCs w:val="21"/>
                <w:highlight w:val="none"/>
                <w:lang w:val="en-US" w:eastAsia="zh-CN"/>
              </w:rPr>
              <w:t xml:space="preserve">17.5230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61" w:type="dxa"/>
            <w:vMerge w:val="continue"/>
            <w:vAlign w:val="center"/>
          </w:tcPr>
          <w:p>
            <w:pPr>
              <w:jc w:val="center"/>
              <w:rPr>
                <w:rFonts w:hint="default" w:ascii="Times New Roman" w:hAnsi="Times New Roman" w:eastAsia="仿宋_GB2312" w:cs="Times New Roman"/>
                <w:sz w:val="24"/>
                <w:highlight w:val="none"/>
              </w:rPr>
            </w:pPr>
          </w:p>
        </w:tc>
        <w:tc>
          <w:tcPr>
            <w:tcW w:w="7029" w:type="dxa"/>
            <w:gridSpan w:val="7"/>
            <w:vAlign w:val="center"/>
          </w:tcPr>
          <w:p>
            <w:pPr>
              <w:jc w:val="center"/>
              <w:rPr>
                <w:rFonts w:hint="default" w:cs="Times New Roman" w:eastAsiaTheme="minorEastAsia"/>
                <w:szCs w:val="21"/>
                <w:highlight w:val="none"/>
                <w:lang w:val="en-US" w:eastAsia="zh-CN"/>
              </w:rPr>
            </w:pPr>
            <w:r>
              <w:rPr>
                <w:rFonts w:hint="default" w:ascii="Times New Roman" w:hAnsi="Times New Roman" w:eastAsia="仿宋_GB2312" w:cs="Times New Roman"/>
                <w:sz w:val="24"/>
                <w:highlight w:val="none"/>
                <w:lang w:val="en-US" w:eastAsia="zh-CN"/>
              </w:rPr>
              <w:t>土地补偿费与安置补助费合计</w:t>
            </w:r>
          </w:p>
        </w:tc>
        <w:tc>
          <w:tcPr>
            <w:tcW w:w="1297" w:type="dxa"/>
            <w:vAlign w:val="bottom"/>
          </w:tcPr>
          <w:p>
            <w:pPr>
              <w:keepNext w:val="0"/>
              <w:keepLines w:val="0"/>
              <w:pageBreakBefore w:val="0"/>
              <w:widowControl w:val="0"/>
              <w:kinsoku/>
              <w:wordWrap/>
              <w:overflowPunct/>
              <w:topLinePunct w:val="0"/>
              <w:autoSpaceDE/>
              <w:autoSpaceDN/>
              <w:bidi w:val="0"/>
              <w:adjustRightInd/>
              <w:snapToGrid/>
              <w:spacing w:after="165" w:afterLines="50" w:line="3120" w:lineRule="auto"/>
              <w:jc w:val="center"/>
              <w:textAlignment w:val="auto"/>
              <w:rPr>
                <w:rFonts w:hint="default" w:cs="Times New Roman" w:eastAsiaTheme="minorEastAsia"/>
                <w:szCs w:val="21"/>
                <w:highlight w:val="none"/>
                <w:lang w:val="en-US" w:eastAsia="zh-CN"/>
              </w:rPr>
            </w:pPr>
            <w:r>
              <w:rPr>
                <w:rFonts w:hint="eastAsia" w:cs="Times New Roman" w:eastAsiaTheme="minorEastAsia"/>
                <w:szCs w:val="21"/>
                <w:highlight w:val="none"/>
                <w:lang w:val="en-US" w:eastAsia="zh-CN"/>
              </w:rPr>
              <w:t>3844.4505</w:t>
            </w:r>
          </w:p>
        </w:tc>
      </w:tr>
    </w:tbl>
    <w:p>
      <w:pPr>
        <w:spacing w:line="620" w:lineRule="exact"/>
        <w:jc w:val="both"/>
        <w:rPr>
          <w:rFonts w:hint="default" w:ascii="Times New Roman" w:hAnsi="Times New Roman" w:eastAsia="方正小标宋简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《广东省人民政府办公厅关于加强征收农村集体土地留用地安置管理工作的意见》（粤府办〔2016〕30号）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《广州市人民政府办公厅关于进一步加强征收农村集体土地留用地管理的意见》（穗府办规〔2018〕17号）</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的规定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，对已取得用地批复（</w:t>
      </w:r>
      <w:r>
        <w:rPr>
          <w:rFonts w:hint="eastAsia" w:eastAsia="仿宋_GB2312" w:cs="Times New Roman"/>
          <w:color w:val="000000" w:themeColor="text1"/>
          <w:sz w:val="32"/>
          <w:szCs w:val="32"/>
          <w:highlight w:val="none"/>
          <w:lang w:val="en-US" w:eastAsia="zh-CN"/>
          <w14:textFill>
            <w14:solidFill>
              <w14:schemeClr w14:val="tx1"/>
            </w14:solidFill>
          </w14:textFill>
        </w:rPr>
        <w:t>花</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国土〔</w:t>
      </w:r>
      <w:r>
        <w:rPr>
          <w:rFonts w:hint="eastAsia" w:eastAsia="仿宋_GB2312" w:cs="Times New Roman"/>
          <w:color w:val="000000" w:themeColor="text1"/>
          <w:sz w:val="32"/>
          <w:szCs w:val="32"/>
          <w:highlight w:val="none"/>
          <w:lang w:val="en-US" w:eastAsia="zh-CN"/>
          <w14:textFill>
            <w14:solidFill>
              <w14:schemeClr w14:val="tx1"/>
            </w14:solidFill>
          </w14:textFill>
        </w:rPr>
        <w:t>1992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地批字第279</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号）中的</w:t>
      </w:r>
      <w:r>
        <w:rPr>
          <w:rFonts w:hint="eastAsia" w:eastAsia="仿宋_GB2312" w:cs="Times New Roman"/>
          <w:color w:val="000000" w:themeColor="text1"/>
          <w:sz w:val="32"/>
          <w:szCs w:val="32"/>
          <w:highlight w:val="none"/>
          <w:lang w:val="en-US" w:eastAsia="zh-CN"/>
          <w14:textFill>
            <w14:solidFill>
              <w14:schemeClr w14:val="tx1"/>
            </w14:solidFill>
          </w14:textFill>
        </w:rPr>
        <w:t>0.2075公顷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土地按征收集体土地面积的100%的比例核定经济发展留用地指标</w:t>
      </w:r>
      <w:r>
        <w:rPr>
          <w:rFonts w:hint="eastAsia" w:eastAsia="仿宋_GB2312" w:cs="Times New Roman"/>
          <w:color w:val="000000" w:themeColor="text1"/>
          <w:sz w:val="32"/>
          <w:szCs w:val="32"/>
          <w:highlight w:val="none"/>
          <w:lang w:val="en-US" w:eastAsia="zh-CN"/>
          <w14:textFill>
            <w14:solidFill>
              <w14:schemeClr w14:val="tx1"/>
            </w14:solidFill>
          </w14:textFill>
        </w:rPr>
        <w:t>0.2075公顷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，剩余</w:t>
      </w:r>
      <w:r>
        <w:rPr>
          <w:rFonts w:hint="eastAsia" w:eastAsia="仿宋_GB2312" w:cs="Times New Roman"/>
          <w:color w:val="000000" w:themeColor="text1"/>
          <w:sz w:val="32"/>
          <w:szCs w:val="32"/>
          <w:highlight w:val="none"/>
          <w:lang w:val="en-US" w:eastAsia="zh-CN"/>
          <w14:textFill>
            <w14:solidFill>
              <w14:schemeClr w14:val="tx1"/>
            </w14:solidFill>
          </w14:textFill>
        </w:rPr>
        <w:t>20.9929公顷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按征收集体土地面积10%的比例核定留用地指标</w:t>
      </w:r>
      <w:r>
        <w:rPr>
          <w:rFonts w:hint="eastAsia" w:eastAsia="仿宋_GB2312" w:cs="Times New Roman"/>
          <w:color w:val="000000" w:themeColor="text1"/>
          <w:sz w:val="32"/>
          <w:szCs w:val="32"/>
          <w:highlight w:val="none"/>
          <w:lang w:val="en-US" w:eastAsia="zh-CN"/>
          <w14:textFill>
            <w14:solidFill>
              <w14:schemeClr w14:val="tx1"/>
            </w14:solidFill>
          </w14:textFill>
        </w:rPr>
        <w:t>2.0993公顷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，共计</w:t>
      </w:r>
      <w:r>
        <w:rPr>
          <w:rFonts w:hint="eastAsia" w:eastAsia="仿宋_GB2312" w:cs="Times New Roman"/>
          <w:color w:val="000000" w:themeColor="text1"/>
          <w:sz w:val="32"/>
          <w:szCs w:val="32"/>
          <w:highlight w:val="none"/>
          <w:lang w:val="en-US" w:eastAsia="zh-CN"/>
          <w14:textFill>
            <w14:solidFill>
              <w14:schemeClr w14:val="tx1"/>
            </w14:solidFill>
          </w14:textFill>
        </w:rPr>
        <w:t>2.3068公顷</w:t>
      </w:r>
      <w:r>
        <w:rPr>
          <w:rFonts w:hint="eastAsia" w:ascii="仿宋_GB2312" w:eastAsia="仿宋_GB2312"/>
          <w:sz w:val="32"/>
          <w:szCs w:val="32"/>
          <w:lang w:val="en-US" w:eastAsia="zh-CN"/>
        </w:rPr>
        <w:t>，</w:t>
      </w:r>
      <w:r>
        <w:rPr>
          <w:rFonts w:hint="eastAsia" w:ascii="仿宋_GB2312" w:eastAsia="仿宋_GB2312"/>
          <w:sz w:val="32"/>
          <w:szCs w:val="32"/>
        </w:rPr>
        <w:t>留用地兑现方式为</w:t>
      </w:r>
      <w:r>
        <w:rPr>
          <w:rFonts w:hint="eastAsia" w:ascii="Times New Roman" w:hAnsi="Times New Roman" w:eastAsia="仿宋_GB2312" w:cs="Times New Roman"/>
          <w:sz w:val="32"/>
        </w:rPr>
        <w:t>实</w:t>
      </w:r>
      <w:r>
        <w:rPr>
          <w:rFonts w:hint="eastAsia" w:ascii="Times New Roman" w:hAnsi="Times New Roman" w:eastAsia="仿宋_GB2312" w:cs="Times New Roman"/>
          <w:sz w:val="32"/>
          <w:lang w:eastAsia="zh-CN"/>
        </w:rPr>
        <w:t>物</w:t>
      </w:r>
      <w:r>
        <w:rPr>
          <w:rFonts w:hint="eastAsia" w:ascii="Times New Roman" w:hAnsi="Times New Roman" w:eastAsia="仿宋_GB2312" w:cs="Times New Roman"/>
          <w:sz w:val="32"/>
        </w:rPr>
        <w:t>留地，</w:t>
      </w:r>
      <w:r>
        <w:rPr>
          <w:rFonts w:hint="eastAsia" w:eastAsia="仿宋_GB2312" w:cs="Times New Roman"/>
          <w:sz w:val="32"/>
          <w:lang w:eastAsia="zh-CN"/>
        </w:rPr>
        <w:t>在本地块内安排解决</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日</w:t>
      </w:r>
    </w:p>
    <w:sectPr>
      <w:headerReference r:id="rId3" w:type="default"/>
      <w:footerReference r:id="rId4" w:type="default"/>
      <w:pgSz w:w="11906" w:h="16838"/>
      <w:pgMar w:top="1588" w:right="1474" w:bottom="1644" w:left="1418" w:header="851" w:footer="992" w:gutter="0"/>
      <w:pgNumType w:fmt="decimal" w:start="1"/>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BD0"/>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D2E85"/>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413EA"/>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1A86165"/>
    <w:rsid w:val="01CB7562"/>
    <w:rsid w:val="021F18EE"/>
    <w:rsid w:val="028E5F30"/>
    <w:rsid w:val="03B7067B"/>
    <w:rsid w:val="045A141F"/>
    <w:rsid w:val="047D565D"/>
    <w:rsid w:val="0490057C"/>
    <w:rsid w:val="04902F77"/>
    <w:rsid w:val="04FC7806"/>
    <w:rsid w:val="05F566EF"/>
    <w:rsid w:val="06F26F0B"/>
    <w:rsid w:val="07766BF7"/>
    <w:rsid w:val="07A109B4"/>
    <w:rsid w:val="08167452"/>
    <w:rsid w:val="089723B7"/>
    <w:rsid w:val="08AC6E89"/>
    <w:rsid w:val="09373001"/>
    <w:rsid w:val="09876555"/>
    <w:rsid w:val="09DF1BB6"/>
    <w:rsid w:val="0A5015CC"/>
    <w:rsid w:val="0B066FC8"/>
    <w:rsid w:val="0B6D4B5B"/>
    <w:rsid w:val="0C177E26"/>
    <w:rsid w:val="0C3E76E9"/>
    <w:rsid w:val="0C4869FB"/>
    <w:rsid w:val="0D1506C3"/>
    <w:rsid w:val="0D825F68"/>
    <w:rsid w:val="0E766EB4"/>
    <w:rsid w:val="0E8E79F1"/>
    <w:rsid w:val="0F036D42"/>
    <w:rsid w:val="0F615F47"/>
    <w:rsid w:val="0F7468AC"/>
    <w:rsid w:val="10871BEE"/>
    <w:rsid w:val="10DA3734"/>
    <w:rsid w:val="10E93FD8"/>
    <w:rsid w:val="10FA44E5"/>
    <w:rsid w:val="11606086"/>
    <w:rsid w:val="11AB14C0"/>
    <w:rsid w:val="12005F15"/>
    <w:rsid w:val="12487E6A"/>
    <w:rsid w:val="125F3B56"/>
    <w:rsid w:val="126717C1"/>
    <w:rsid w:val="12CB6DC5"/>
    <w:rsid w:val="132A0389"/>
    <w:rsid w:val="133F7B95"/>
    <w:rsid w:val="14905081"/>
    <w:rsid w:val="15003E83"/>
    <w:rsid w:val="1582042A"/>
    <w:rsid w:val="159806CC"/>
    <w:rsid w:val="16385B2F"/>
    <w:rsid w:val="169F6276"/>
    <w:rsid w:val="16B37AAF"/>
    <w:rsid w:val="1700154A"/>
    <w:rsid w:val="175775B7"/>
    <w:rsid w:val="177D5977"/>
    <w:rsid w:val="17FB757D"/>
    <w:rsid w:val="194F48A1"/>
    <w:rsid w:val="196834A0"/>
    <w:rsid w:val="1AAE50AD"/>
    <w:rsid w:val="1B4A6F2A"/>
    <w:rsid w:val="1B67425E"/>
    <w:rsid w:val="1CBD1353"/>
    <w:rsid w:val="1CC156F9"/>
    <w:rsid w:val="1D12088B"/>
    <w:rsid w:val="1D430828"/>
    <w:rsid w:val="1DB31AB9"/>
    <w:rsid w:val="1DF43E5B"/>
    <w:rsid w:val="1E5E6309"/>
    <w:rsid w:val="1E885595"/>
    <w:rsid w:val="1F37408C"/>
    <w:rsid w:val="1F691184"/>
    <w:rsid w:val="1F6D246E"/>
    <w:rsid w:val="1F8303D4"/>
    <w:rsid w:val="1FD70753"/>
    <w:rsid w:val="204C53DD"/>
    <w:rsid w:val="2071237B"/>
    <w:rsid w:val="210A46D8"/>
    <w:rsid w:val="2176650B"/>
    <w:rsid w:val="21787728"/>
    <w:rsid w:val="218113F3"/>
    <w:rsid w:val="218C4997"/>
    <w:rsid w:val="21986E13"/>
    <w:rsid w:val="2199251B"/>
    <w:rsid w:val="21B3700B"/>
    <w:rsid w:val="21BF6AE1"/>
    <w:rsid w:val="224D44A6"/>
    <w:rsid w:val="229E1CC4"/>
    <w:rsid w:val="229F4C0B"/>
    <w:rsid w:val="23105D0C"/>
    <w:rsid w:val="2312327F"/>
    <w:rsid w:val="23633014"/>
    <w:rsid w:val="23B74A2A"/>
    <w:rsid w:val="23DE14B8"/>
    <w:rsid w:val="24450A1D"/>
    <w:rsid w:val="24F92858"/>
    <w:rsid w:val="255501FE"/>
    <w:rsid w:val="25A45C9C"/>
    <w:rsid w:val="26286DE5"/>
    <w:rsid w:val="2638152C"/>
    <w:rsid w:val="26545BED"/>
    <w:rsid w:val="265A2BD8"/>
    <w:rsid w:val="2692070D"/>
    <w:rsid w:val="289B209A"/>
    <w:rsid w:val="29500AAA"/>
    <w:rsid w:val="296A7299"/>
    <w:rsid w:val="297B616B"/>
    <w:rsid w:val="2AB402F1"/>
    <w:rsid w:val="2AC2171C"/>
    <w:rsid w:val="2B263AD2"/>
    <w:rsid w:val="2B533CF1"/>
    <w:rsid w:val="2B5617DF"/>
    <w:rsid w:val="2BA8762B"/>
    <w:rsid w:val="2C42243B"/>
    <w:rsid w:val="2C6A090C"/>
    <w:rsid w:val="2CCE569A"/>
    <w:rsid w:val="2CE93E9D"/>
    <w:rsid w:val="2E1A1C64"/>
    <w:rsid w:val="2E8F18D3"/>
    <w:rsid w:val="2F0D7DB1"/>
    <w:rsid w:val="2F1124AC"/>
    <w:rsid w:val="31364635"/>
    <w:rsid w:val="314400A3"/>
    <w:rsid w:val="316336FE"/>
    <w:rsid w:val="317849AC"/>
    <w:rsid w:val="31BB168A"/>
    <w:rsid w:val="321C656E"/>
    <w:rsid w:val="328F31FC"/>
    <w:rsid w:val="32AA52CF"/>
    <w:rsid w:val="32E2473C"/>
    <w:rsid w:val="332854C6"/>
    <w:rsid w:val="33A76A12"/>
    <w:rsid w:val="33BA4C48"/>
    <w:rsid w:val="34B15A2E"/>
    <w:rsid w:val="34DB0DF6"/>
    <w:rsid w:val="356E13AB"/>
    <w:rsid w:val="359251FC"/>
    <w:rsid w:val="363477C2"/>
    <w:rsid w:val="3635578F"/>
    <w:rsid w:val="36662E78"/>
    <w:rsid w:val="36673332"/>
    <w:rsid w:val="367872C4"/>
    <w:rsid w:val="36D32C8D"/>
    <w:rsid w:val="37322601"/>
    <w:rsid w:val="37405314"/>
    <w:rsid w:val="375A7E55"/>
    <w:rsid w:val="37A819CD"/>
    <w:rsid w:val="381A7A93"/>
    <w:rsid w:val="386126B8"/>
    <w:rsid w:val="3868603F"/>
    <w:rsid w:val="38F55A2C"/>
    <w:rsid w:val="3913458B"/>
    <w:rsid w:val="39323FC1"/>
    <w:rsid w:val="39CA56A5"/>
    <w:rsid w:val="3A4E6CC6"/>
    <w:rsid w:val="3A7B4F0B"/>
    <w:rsid w:val="3B327639"/>
    <w:rsid w:val="3B996B7A"/>
    <w:rsid w:val="3C38025F"/>
    <w:rsid w:val="3C543787"/>
    <w:rsid w:val="3C992538"/>
    <w:rsid w:val="3D067184"/>
    <w:rsid w:val="3D3331AE"/>
    <w:rsid w:val="3DA8300F"/>
    <w:rsid w:val="3DB862C3"/>
    <w:rsid w:val="3DD048C6"/>
    <w:rsid w:val="3E1F2091"/>
    <w:rsid w:val="3E4A3E61"/>
    <w:rsid w:val="3E5D5B4A"/>
    <w:rsid w:val="3EE962D3"/>
    <w:rsid w:val="3F3B12E2"/>
    <w:rsid w:val="3F5F0868"/>
    <w:rsid w:val="4045485F"/>
    <w:rsid w:val="407516EF"/>
    <w:rsid w:val="40D81779"/>
    <w:rsid w:val="41A87D52"/>
    <w:rsid w:val="41D31045"/>
    <w:rsid w:val="421A292D"/>
    <w:rsid w:val="42695CBF"/>
    <w:rsid w:val="42B31A3C"/>
    <w:rsid w:val="42EF41DC"/>
    <w:rsid w:val="43232767"/>
    <w:rsid w:val="43412817"/>
    <w:rsid w:val="44713890"/>
    <w:rsid w:val="44D762D6"/>
    <w:rsid w:val="450A0384"/>
    <w:rsid w:val="45296E84"/>
    <w:rsid w:val="45BA7313"/>
    <w:rsid w:val="45E72C44"/>
    <w:rsid w:val="46212862"/>
    <w:rsid w:val="47214932"/>
    <w:rsid w:val="472B3950"/>
    <w:rsid w:val="47366CDF"/>
    <w:rsid w:val="47C40AA6"/>
    <w:rsid w:val="47D012F9"/>
    <w:rsid w:val="47D90FC3"/>
    <w:rsid w:val="485A3F6D"/>
    <w:rsid w:val="494E5AF8"/>
    <w:rsid w:val="49CE2103"/>
    <w:rsid w:val="4AAE1013"/>
    <w:rsid w:val="4B3F663F"/>
    <w:rsid w:val="4B442BE5"/>
    <w:rsid w:val="4BCE7CF7"/>
    <w:rsid w:val="4C013202"/>
    <w:rsid w:val="4C15195F"/>
    <w:rsid w:val="4C633074"/>
    <w:rsid w:val="4C904084"/>
    <w:rsid w:val="4CA359F7"/>
    <w:rsid w:val="4D0A42F6"/>
    <w:rsid w:val="4D1056F7"/>
    <w:rsid w:val="4D647753"/>
    <w:rsid w:val="4DAC04C6"/>
    <w:rsid w:val="4DCE6D43"/>
    <w:rsid w:val="4DDE46CE"/>
    <w:rsid w:val="4DFD14BF"/>
    <w:rsid w:val="4E6332C9"/>
    <w:rsid w:val="4EB60530"/>
    <w:rsid w:val="4ECE6B3F"/>
    <w:rsid w:val="4ED93EDA"/>
    <w:rsid w:val="4F022724"/>
    <w:rsid w:val="4F075C85"/>
    <w:rsid w:val="4F3A5F95"/>
    <w:rsid w:val="4F7379D2"/>
    <w:rsid w:val="4F817576"/>
    <w:rsid w:val="50082F1B"/>
    <w:rsid w:val="506214A0"/>
    <w:rsid w:val="508051E3"/>
    <w:rsid w:val="51D269E0"/>
    <w:rsid w:val="52297030"/>
    <w:rsid w:val="52780A43"/>
    <w:rsid w:val="53CA0BDC"/>
    <w:rsid w:val="53CB23A2"/>
    <w:rsid w:val="53F75A04"/>
    <w:rsid w:val="543528AA"/>
    <w:rsid w:val="543B29CE"/>
    <w:rsid w:val="54625FCB"/>
    <w:rsid w:val="546C0029"/>
    <w:rsid w:val="54A12AF2"/>
    <w:rsid w:val="55754051"/>
    <w:rsid w:val="55A34522"/>
    <w:rsid w:val="56141087"/>
    <w:rsid w:val="568760CC"/>
    <w:rsid w:val="56F138C5"/>
    <w:rsid w:val="572C1E49"/>
    <w:rsid w:val="572D2064"/>
    <w:rsid w:val="58021AF1"/>
    <w:rsid w:val="583E482E"/>
    <w:rsid w:val="585A7D71"/>
    <w:rsid w:val="58AC1A08"/>
    <w:rsid w:val="58FE7CE4"/>
    <w:rsid w:val="59AA6A41"/>
    <w:rsid w:val="5A5B54D2"/>
    <w:rsid w:val="5AE742F5"/>
    <w:rsid w:val="5B45427C"/>
    <w:rsid w:val="5B91100F"/>
    <w:rsid w:val="5CAC715C"/>
    <w:rsid w:val="5CC262F2"/>
    <w:rsid w:val="5D906C56"/>
    <w:rsid w:val="5DA13A8D"/>
    <w:rsid w:val="5DB837C5"/>
    <w:rsid w:val="5E13350E"/>
    <w:rsid w:val="5E7C3989"/>
    <w:rsid w:val="5ED62774"/>
    <w:rsid w:val="5ED752A6"/>
    <w:rsid w:val="5F19102D"/>
    <w:rsid w:val="5F206367"/>
    <w:rsid w:val="5F6230E0"/>
    <w:rsid w:val="5F6266B2"/>
    <w:rsid w:val="61263059"/>
    <w:rsid w:val="614A5CFF"/>
    <w:rsid w:val="620A4073"/>
    <w:rsid w:val="621F03E6"/>
    <w:rsid w:val="622845F4"/>
    <w:rsid w:val="62440805"/>
    <w:rsid w:val="625B3B96"/>
    <w:rsid w:val="62D7433C"/>
    <w:rsid w:val="630802D7"/>
    <w:rsid w:val="63D1437B"/>
    <w:rsid w:val="64625332"/>
    <w:rsid w:val="64C16862"/>
    <w:rsid w:val="64D7377C"/>
    <w:rsid w:val="652B6B83"/>
    <w:rsid w:val="65D205BC"/>
    <w:rsid w:val="66673B87"/>
    <w:rsid w:val="67153663"/>
    <w:rsid w:val="676001C2"/>
    <w:rsid w:val="67982B6C"/>
    <w:rsid w:val="67E16112"/>
    <w:rsid w:val="68F36EE5"/>
    <w:rsid w:val="699C75E2"/>
    <w:rsid w:val="69A12DEC"/>
    <w:rsid w:val="69E26428"/>
    <w:rsid w:val="6A2503CE"/>
    <w:rsid w:val="6A782886"/>
    <w:rsid w:val="6AC802AC"/>
    <w:rsid w:val="6AE901F4"/>
    <w:rsid w:val="6B3D53FB"/>
    <w:rsid w:val="6B936384"/>
    <w:rsid w:val="6C446358"/>
    <w:rsid w:val="6D443E64"/>
    <w:rsid w:val="6D4C5CE1"/>
    <w:rsid w:val="6D630FEE"/>
    <w:rsid w:val="6DB91742"/>
    <w:rsid w:val="6E8D7E9A"/>
    <w:rsid w:val="6E921943"/>
    <w:rsid w:val="6EB162D9"/>
    <w:rsid w:val="6EF12AC9"/>
    <w:rsid w:val="6F1A08FF"/>
    <w:rsid w:val="6F5C0DC4"/>
    <w:rsid w:val="6FA03B19"/>
    <w:rsid w:val="702533F2"/>
    <w:rsid w:val="702A2A6F"/>
    <w:rsid w:val="70C51172"/>
    <w:rsid w:val="70ED455C"/>
    <w:rsid w:val="71163B5E"/>
    <w:rsid w:val="72007BEE"/>
    <w:rsid w:val="7252521E"/>
    <w:rsid w:val="7285297A"/>
    <w:rsid w:val="728F6618"/>
    <w:rsid w:val="72B360F0"/>
    <w:rsid w:val="72EE757E"/>
    <w:rsid w:val="72F411A0"/>
    <w:rsid w:val="73695084"/>
    <w:rsid w:val="73C32F03"/>
    <w:rsid w:val="75647CD2"/>
    <w:rsid w:val="75AB23F7"/>
    <w:rsid w:val="76C951AF"/>
    <w:rsid w:val="776D10ED"/>
    <w:rsid w:val="77825ED6"/>
    <w:rsid w:val="77C32A01"/>
    <w:rsid w:val="77F17888"/>
    <w:rsid w:val="78041FE5"/>
    <w:rsid w:val="78406DCB"/>
    <w:rsid w:val="7B023BBB"/>
    <w:rsid w:val="7B380C2F"/>
    <w:rsid w:val="7B711C17"/>
    <w:rsid w:val="7C1572DD"/>
    <w:rsid w:val="7C21704A"/>
    <w:rsid w:val="7C3831CB"/>
    <w:rsid w:val="7C7236B9"/>
    <w:rsid w:val="7CA02A5B"/>
    <w:rsid w:val="7CA63BDE"/>
    <w:rsid w:val="7CB83A65"/>
    <w:rsid w:val="7CDB7C32"/>
    <w:rsid w:val="7D222E00"/>
    <w:rsid w:val="7D323B06"/>
    <w:rsid w:val="7E1B7537"/>
    <w:rsid w:val="7E875FC9"/>
    <w:rsid w:val="7E9356A2"/>
    <w:rsid w:val="7F7B020F"/>
    <w:rsid w:val="7F940CB0"/>
    <w:rsid w:val="7FB70D73"/>
    <w:rsid w:val="7FC12C8E"/>
    <w:rsid w:val="7FD74C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103</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2022-11-14T09:02:00Z</cp:lastPrinted>
  <dcterms:modified xsi:type="dcterms:W3CDTF">2022-11-16T09:35:23Z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