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方正小标宋简体" w:hAnsi="宋体" w:eastAsia="方正小标宋简体"/>
          <w:color w:val="000000"/>
          <w:sz w:val="44"/>
          <w:szCs w:val="44"/>
          <w:highlight w:val="none"/>
        </w:rPr>
        <w:t>广州市花都区</w:t>
      </w:r>
      <w:r>
        <w:rPr>
          <w:rFonts w:hint="eastAsia" w:ascii="方正小标宋简体" w:hAnsi="宋体" w:eastAsia="方正小标宋简体"/>
          <w:color w:val="000000"/>
          <w:sz w:val="44"/>
          <w:szCs w:val="44"/>
          <w:highlight w:val="none"/>
          <w:lang w:eastAsia="zh-CN"/>
        </w:rPr>
        <w:t>（空港经济区）</w:t>
      </w:r>
      <w:r>
        <w:rPr>
          <w:rFonts w:hint="eastAsia" w:ascii="方正小标宋简体" w:hAnsi="宋体" w:eastAsia="方正小标宋简体"/>
          <w:color w:val="000000"/>
          <w:sz w:val="44"/>
          <w:szCs w:val="44"/>
          <w:highlight w:val="none"/>
          <w:lang w:val="en-US" w:eastAsia="zh-CN"/>
        </w:rPr>
        <w:t>2019</w:t>
      </w:r>
      <w:r>
        <w:rPr>
          <w:rFonts w:hint="eastAsia" w:ascii="方正小标宋简体" w:hAnsi="宋体" w:eastAsia="方正小标宋简体"/>
          <w:color w:val="000000"/>
          <w:sz w:val="44"/>
          <w:szCs w:val="44"/>
          <w:highlight w:val="none"/>
        </w:rPr>
        <w:t>年度</w:t>
      </w:r>
      <w:r>
        <w:rPr>
          <w:rFonts w:hint="eastAsia" w:ascii="方正小标宋简体" w:hAnsi="宋体" w:eastAsia="方正小标宋简体"/>
          <w:color w:val="000000"/>
          <w:sz w:val="44"/>
          <w:szCs w:val="44"/>
          <w:highlight w:val="none"/>
          <w:lang w:eastAsia="zh-CN"/>
        </w:rPr>
        <w:t>第三十四</w:t>
      </w:r>
      <w:r>
        <w:rPr>
          <w:rFonts w:hint="eastAsia" w:ascii="方正小标宋简体" w:hAnsi="宋体" w:eastAsia="方正小标宋简体"/>
          <w:color w:val="000000"/>
          <w:sz w:val="44"/>
          <w:szCs w:val="44"/>
          <w:highlight w:val="none"/>
        </w:rPr>
        <w:t>批次城镇建设用地（</w:t>
      </w:r>
      <w:r>
        <w:rPr>
          <w:rFonts w:hint="eastAsia" w:ascii="方正小标宋简体" w:hAnsi="宋体" w:eastAsia="方正小标宋简体"/>
          <w:color w:val="000000"/>
          <w:sz w:val="44"/>
          <w:szCs w:val="44"/>
          <w:highlight w:val="none"/>
          <w:lang w:eastAsia="zh-CN"/>
        </w:rPr>
        <w:t>保税大道南一号地块</w:t>
      </w:r>
      <w:r>
        <w:rPr>
          <w:rFonts w:hint="eastAsia" w:ascii="仿宋_GB2312" w:hAnsi="仿宋_GB2312" w:eastAsia="仿宋_GB2312" w:cs="仿宋_GB2312"/>
          <w:color w:val="000000"/>
          <w:sz w:val="44"/>
          <w:szCs w:val="44"/>
          <w:highlight w:val="none"/>
          <w:lang w:eastAsia="zh-CN"/>
        </w:rPr>
        <w:t>〔</w:t>
      </w:r>
      <w:r>
        <w:rPr>
          <w:rFonts w:hint="eastAsia" w:ascii="方正小标宋简体" w:hAnsi="方正小标宋简体" w:eastAsia="方正小标宋简体" w:cs="方正小标宋简体"/>
          <w:color w:val="000000"/>
          <w:sz w:val="44"/>
          <w:szCs w:val="44"/>
          <w:highlight w:val="none"/>
          <w:lang w:eastAsia="zh-CN"/>
        </w:rPr>
        <w:t>地块一</w:t>
      </w:r>
      <w:r>
        <w:rPr>
          <w:rFonts w:hint="eastAsia" w:ascii="仿宋_GB2312" w:hAnsi="仿宋_GB2312" w:eastAsia="仿宋_GB2312" w:cs="仿宋_GB2312"/>
          <w:color w:val="000000"/>
          <w:sz w:val="44"/>
          <w:szCs w:val="44"/>
          <w:highlight w:val="none"/>
          <w:lang w:eastAsia="zh-CN"/>
        </w:rPr>
        <w:t>〕</w:t>
      </w:r>
      <w:r>
        <w:rPr>
          <w:rFonts w:hint="eastAsia" w:ascii="方正小标宋简体" w:hAnsi="宋体" w:eastAsia="方正小标宋简体"/>
          <w:color w:val="000000"/>
          <w:sz w:val="44"/>
          <w:szCs w:val="44"/>
          <w:highlight w:val="none"/>
        </w:rPr>
        <w:t>）</w:t>
      </w:r>
      <w:r>
        <w:rPr>
          <w:rFonts w:hint="eastAsia" w:ascii="方正小标宋简体" w:hAnsi="宋体" w:eastAsia="方正小标宋简体"/>
          <w:color w:val="000000"/>
          <w:sz w:val="44"/>
          <w:szCs w:val="44"/>
          <w:highlight w:val="none"/>
          <w:lang w:eastAsia="zh-CN"/>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highlight w:val="none"/>
          <w:lang w:val="en-US" w:eastAsia="zh-CN"/>
        </w:rPr>
        <w:t>花山镇</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花山镇平东</w:t>
      </w:r>
      <w:r>
        <w:rPr>
          <w:rFonts w:hint="default" w:ascii="Times New Roman" w:hAnsi="Times New Roman" w:eastAsia="仿宋_GB2312" w:cs="Times New Roman"/>
          <w:sz w:val="32"/>
          <w:szCs w:val="32"/>
          <w:highlight w:val="none"/>
        </w:rPr>
        <w:t>村</w:t>
      </w:r>
      <w:r>
        <w:rPr>
          <w:rFonts w:hint="eastAsia" w:eastAsia="仿宋_GB2312"/>
          <w:sz w:val="32"/>
          <w:szCs w:val="32"/>
        </w:rPr>
        <w:t>第六经济合作社</w:t>
      </w:r>
      <w:r>
        <w:rPr>
          <w:rFonts w:hint="eastAsia" w:eastAsia="仿宋_GB2312"/>
          <w:sz w:val="32"/>
          <w:szCs w:val="32"/>
          <w:lang w:eastAsia="zh-CN"/>
        </w:rPr>
        <w:t>，平东村</w:t>
      </w:r>
      <w:r>
        <w:rPr>
          <w:rFonts w:hint="eastAsia" w:eastAsia="仿宋_GB2312"/>
          <w:sz w:val="32"/>
          <w:szCs w:val="32"/>
        </w:rPr>
        <w:t>第十四经济合作社</w:t>
      </w:r>
      <w:r>
        <w:rPr>
          <w:rFonts w:hint="eastAsia" w:eastAsia="仿宋_GB2312"/>
          <w:sz w:val="32"/>
          <w:szCs w:val="32"/>
          <w:lang w:eastAsia="zh-CN"/>
        </w:rPr>
        <w:t>，平东村</w:t>
      </w:r>
      <w:r>
        <w:rPr>
          <w:rFonts w:hint="eastAsia" w:eastAsia="仿宋_GB2312"/>
          <w:sz w:val="32"/>
          <w:szCs w:val="32"/>
        </w:rPr>
        <w:t>桥头经济合作社</w:t>
      </w:r>
      <w:r>
        <w:rPr>
          <w:rFonts w:hint="eastAsia" w:eastAsia="仿宋_GB2312"/>
          <w:sz w:val="32"/>
          <w:szCs w:val="32"/>
          <w:lang w:eastAsia="zh-CN"/>
        </w:rPr>
        <w:t>，平东村</w:t>
      </w:r>
      <w:r>
        <w:rPr>
          <w:rFonts w:hint="eastAsia" w:eastAsia="仿宋_GB2312"/>
          <w:sz w:val="32"/>
          <w:szCs w:val="32"/>
          <w:lang w:val="en-US" w:eastAsia="zh-CN"/>
        </w:rPr>
        <w:t>第五经济合作社、</w:t>
      </w:r>
      <w:r>
        <w:rPr>
          <w:rFonts w:hint="eastAsia" w:eastAsia="仿宋_GB2312"/>
          <w:sz w:val="32"/>
          <w:szCs w:val="32"/>
        </w:rPr>
        <w:t>第六经济合作社</w:t>
      </w:r>
      <w:r>
        <w:rPr>
          <w:rFonts w:hint="eastAsia" w:eastAsia="仿宋_GB2312"/>
          <w:sz w:val="32"/>
          <w:szCs w:val="32"/>
          <w:lang w:eastAsia="zh-CN"/>
        </w:rPr>
        <w:t>、</w:t>
      </w:r>
      <w:r>
        <w:rPr>
          <w:rFonts w:hint="eastAsia" w:eastAsia="仿宋_GB2312"/>
          <w:sz w:val="32"/>
          <w:szCs w:val="32"/>
          <w:lang w:val="en-US" w:eastAsia="zh-CN"/>
        </w:rPr>
        <w:t>上丰经济合作社（共有）</w:t>
      </w:r>
      <w:r>
        <w:rPr>
          <w:rFonts w:hint="eastAsia" w:eastAsia="仿宋_GB2312"/>
          <w:sz w:val="32"/>
          <w:szCs w:val="32"/>
          <w:lang w:eastAsia="zh-CN"/>
        </w:rPr>
        <w:t>属下的</w:t>
      </w:r>
      <w:r>
        <w:rPr>
          <w:rFonts w:hint="eastAsia" w:eastAsia="仿宋_GB2312"/>
          <w:sz w:val="32"/>
          <w:szCs w:val="32"/>
        </w:rPr>
        <w:t>集体土地</w:t>
      </w:r>
      <w:r>
        <w:rPr>
          <w:rFonts w:eastAsia="仿宋_GB2312"/>
          <w:sz w:val="32"/>
          <w:szCs w:val="32"/>
        </w:rPr>
        <w:t>5.0</w:t>
      </w:r>
      <w:r>
        <w:rPr>
          <w:rFonts w:hint="eastAsia" w:eastAsia="仿宋_GB2312"/>
          <w:sz w:val="32"/>
          <w:szCs w:val="32"/>
          <w:lang w:val="en-US" w:eastAsia="zh-CN"/>
        </w:rPr>
        <w:t>69</w:t>
      </w:r>
      <w:r>
        <w:rPr>
          <w:rFonts w:hint="eastAsia" w:hAnsi="仿宋_GB2312" w:eastAsia="仿宋_GB2312"/>
          <w:sz w:val="32"/>
          <w:szCs w:val="32"/>
        </w:rPr>
        <w:t>公顷</w:t>
      </w:r>
      <w:r>
        <w:rPr>
          <w:rFonts w:hint="default" w:ascii="Times New Roman" w:hAnsi="Times New Roman" w:eastAsia="仿宋_GB2312" w:cs="Times New Roman"/>
          <w:sz w:val="32"/>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szCs w:val="32"/>
          <w:highlight w:val="none"/>
          <w:lang w:val="en-US" w:eastAsia="zh-CN"/>
        </w:rPr>
        <w:t>花山镇平东村</w:t>
      </w:r>
      <w:r>
        <w:rPr>
          <w:rFonts w:hint="default" w:ascii="Times New Roman" w:hAnsi="Times New Roman" w:eastAsia="仿宋_GB2312" w:cs="Times New Roman"/>
          <w:sz w:val="32"/>
        </w:rPr>
        <w:t>集体土地总面积</w:t>
      </w:r>
      <w:r>
        <w:rPr>
          <w:rFonts w:hint="eastAsia" w:eastAsia="仿宋_GB2312" w:cs="Times New Roman"/>
          <w:sz w:val="32"/>
          <w:szCs w:val="32"/>
          <w:lang w:val="en-US" w:eastAsia="zh-CN"/>
        </w:rPr>
        <w:t>5.069</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4.6926公顷（耕地0.1826公顷、林地0.0292公顷、园地4.1331公顷、其他农用地0.3477公顷）、未利用地0.3764公顷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（一）土地补偿费与安置补助费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448"/>
        <w:gridCol w:w="1032"/>
        <w:gridCol w:w="978"/>
        <w:gridCol w:w="1142"/>
        <w:gridCol w:w="1101"/>
        <w:gridCol w:w="1089"/>
        <w:gridCol w:w="106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480"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978"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243"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149"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357"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continue"/>
            <w:vAlign w:val="center"/>
          </w:tcPr>
          <w:p>
            <w:pPr>
              <w:jc w:val="center"/>
              <w:rPr>
                <w:rFonts w:hint="default" w:ascii="Times New Roman" w:hAnsi="Times New Roman" w:eastAsia="仿宋_GB2312" w:cs="Times New Roman"/>
                <w:b/>
                <w:bCs/>
                <w:sz w:val="24"/>
              </w:rPr>
            </w:pPr>
          </w:p>
        </w:tc>
        <w:tc>
          <w:tcPr>
            <w:tcW w:w="1480" w:type="dxa"/>
            <w:gridSpan w:val="2"/>
            <w:vMerge w:val="continue"/>
            <w:vAlign w:val="center"/>
          </w:tcPr>
          <w:p>
            <w:pPr>
              <w:jc w:val="center"/>
              <w:rPr>
                <w:rFonts w:hint="default" w:ascii="Times New Roman" w:hAnsi="Times New Roman" w:eastAsia="仿宋_GB2312" w:cs="Times New Roman"/>
                <w:b/>
                <w:bCs/>
                <w:sz w:val="24"/>
              </w:rPr>
            </w:pPr>
          </w:p>
        </w:tc>
        <w:tc>
          <w:tcPr>
            <w:tcW w:w="978" w:type="dxa"/>
            <w:vMerge w:val="continue"/>
            <w:vAlign w:val="center"/>
          </w:tcPr>
          <w:p>
            <w:pPr>
              <w:jc w:val="center"/>
              <w:rPr>
                <w:rFonts w:hint="default" w:ascii="Times New Roman" w:hAnsi="Times New Roman" w:eastAsia="仿宋_GB2312" w:cs="Times New Roman"/>
                <w:b/>
                <w:bCs/>
                <w:sz w:val="24"/>
              </w:rPr>
            </w:pPr>
          </w:p>
        </w:tc>
        <w:tc>
          <w:tcPr>
            <w:tcW w:w="114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1"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089"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060"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357"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8"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花山镇</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Times New Roman" w:hAnsi="Times New Roman" w:eastAsia="仿宋_GB2312" w:cs="Times New Roman"/>
                <w:sz w:val="24"/>
              </w:rPr>
              <w:t>第六经济合作社，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Times New Roman" w:hAnsi="Times New Roman" w:eastAsia="仿宋_GB2312" w:cs="Times New Roman"/>
                <w:sz w:val="24"/>
              </w:rPr>
              <w:t>第十四经济合作社，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Times New Roman" w:hAnsi="Times New Roman" w:eastAsia="仿宋_GB2312" w:cs="Times New Roman"/>
                <w:sz w:val="24"/>
              </w:rPr>
              <w:t>桥头经济合作社，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Times New Roman" w:hAnsi="Times New Roman" w:eastAsia="仿宋_GB2312" w:cs="Times New Roman"/>
                <w:sz w:val="24"/>
              </w:rPr>
              <w:t>第五经济合作社、第六经济合作社、上丰经济合作社（共有）</w:t>
            </w:r>
            <w:r>
              <w:rPr>
                <w:rFonts w:hint="eastAsia" w:eastAsia="仿宋_GB2312" w:cs="Times New Roman"/>
                <w:sz w:val="24"/>
                <w:highlight w:val="none"/>
                <w:lang w:val="en-US" w:eastAsia="zh-CN"/>
              </w:rPr>
              <w:t>（机场控制区内）</w:t>
            </w:r>
          </w:p>
        </w:tc>
        <w:tc>
          <w:tcPr>
            <w:tcW w:w="448"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103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978"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0.1515</w:t>
            </w:r>
          </w:p>
        </w:tc>
        <w:tc>
          <w:tcPr>
            <w:tcW w:w="114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18.18</w:t>
            </w:r>
          </w:p>
        </w:tc>
        <w:tc>
          <w:tcPr>
            <w:tcW w:w="108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60"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18.18</w:t>
            </w:r>
          </w:p>
        </w:tc>
        <w:tc>
          <w:tcPr>
            <w:tcW w:w="1357"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8" w:type="dxa"/>
            <w:vMerge w:val="continue"/>
            <w:vAlign w:val="center"/>
          </w:tcPr>
          <w:p>
            <w:pPr>
              <w:jc w:val="center"/>
              <w:rPr>
                <w:rFonts w:hint="default" w:ascii="Times New Roman" w:hAnsi="Times New Roman" w:eastAsia="仿宋_GB2312" w:cs="Times New Roman"/>
                <w:sz w:val="24"/>
              </w:rPr>
            </w:pPr>
          </w:p>
        </w:tc>
        <w:tc>
          <w:tcPr>
            <w:tcW w:w="448" w:type="dxa"/>
            <w:vMerge w:val="continue"/>
            <w:vAlign w:val="center"/>
          </w:tcPr>
          <w:p>
            <w:pPr>
              <w:jc w:val="center"/>
              <w:rPr>
                <w:rFonts w:hint="default" w:ascii="Times New Roman" w:hAnsi="Times New Roman" w:eastAsia="仿宋_GB2312" w:cs="Times New Roman"/>
                <w:sz w:val="24"/>
              </w:rPr>
            </w:pPr>
          </w:p>
        </w:tc>
        <w:tc>
          <w:tcPr>
            <w:tcW w:w="103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97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.0311</w:t>
            </w:r>
          </w:p>
        </w:tc>
        <w:tc>
          <w:tcPr>
            <w:tcW w:w="114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3.732</w:t>
            </w:r>
          </w:p>
        </w:tc>
        <w:tc>
          <w:tcPr>
            <w:tcW w:w="108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60" w:type="dxa"/>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3.732</w:t>
            </w:r>
          </w:p>
        </w:tc>
        <w:tc>
          <w:tcPr>
            <w:tcW w:w="1357"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8" w:type="dxa"/>
            <w:vMerge w:val="continue"/>
            <w:vAlign w:val="center"/>
          </w:tcPr>
          <w:p>
            <w:pPr>
              <w:jc w:val="center"/>
              <w:rPr>
                <w:rFonts w:hint="default" w:ascii="Times New Roman" w:hAnsi="Times New Roman" w:eastAsia="仿宋_GB2312" w:cs="Times New Roman"/>
                <w:sz w:val="24"/>
              </w:rPr>
            </w:pPr>
          </w:p>
        </w:tc>
        <w:tc>
          <w:tcPr>
            <w:tcW w:w="448" w:type="dxa"/>
            <w:vMerge w:val="continue"/>
            <w:vAlign w:val="center"/>
          </w:tcPr>
          <w:p>
            <w:pPr>
              <w:jc w:val="center"/>
              <w:rPr>
                <w:rFonts w:hint="default" w:ascii="Times New Roman" w:hAnsi="Times New Roman" w:eastAsia="仿宋_GB2312" w:cs="Times New Roman"/>
                <w:sz w:val="24"/>
              </w:rPr>
            </w:pPr>
          </w:p>
        </w:tc>
        <w:tc>
          <w:tcPr>
            <w:tcW w:w="103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97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14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08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3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8" w:type="dxa"/>
            <w:vMerge w:val="continue"/>
            <w:vAlign w:val="center"/>
          </w:tcPr>
          <w:p>
            <w:pPr>
              <w:jc w:val="center"/>
              <w:rPr>
                <w:rFonts w:hint="default" w:ascii="Times New Roman" w:hAnsi="Times New Roman" w:eastAsia="仿宋_GB2312" w:cs="Times New Roman"/>
                <w:sz w:val="24"/>
              </w:rPr>
            </w:pPr>
          </w:p>
        </w:tc>
        <w:tc>
          <w:tcPr>
            <w:tcW w:w="148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978"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4.1331</w:t>
            </w:r>
          </w:p>
        </w:tc>
        <w:tc>
          <w:tcPr>
            <w:tcW w:w="114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495.972</w:t>
            </w:r>
          </w:p>
        </w:tc>
        <w:tc>
          <w:tcPr>
            <w:tcW w:w="108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60"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495.972</w:t>
            </w:r>
          </w:p>
        </w:tc>
        <w:tc>
          <w:tcPr>
            <w:tcW w:w="1357"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991.944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8" w:type="dxa"/>
            <w:vMerge w:val="continue"/>
            <w:vAlign w:val="center"/>
          </w:tcPr>
          <w:p>
            <w:pPr>
              <w:jc w:val="center"/>
              <w:rPr>
                <w:rFonts w:hint="default" w:ascii="Times New Roman" w:hAnsi="Times New Roman" w:eastAsia="仿宋_GB2312" w:cs="Times New Roman"/>
                <w:sz w:val="24"/>
              </w:rPr>
            </w:pPr>
          </w:p>
        </w:tc>
        <w:tc>
          <w:tcPr>
            <w:tcW w:w="148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97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.0292</w:t>
            </w:r>
          </w:p>
        </w:tc>
        <w:tc>
          <w:tcPr>
            <w:tcW w:w="114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3.504</w:t>
            </w:r>
          </w:p>
        </w:tc>
        <w:tc>
          <w:tcPr>
            <w:tcW w:w="108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60"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3.504</w:t>
            </w:r>
          </w:p>
        </w:tc>
        <w:tc>
          <w:tcPr>
            <w:tcW w:w="1357"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8" w:type="dxa"/>
            <w:vMerge w:val="continue"/>
            <w:vAlign w:val="center"/>
          </w:tcPr>
          <w:p>
            <w:pPr>
              <w:jc w:val="center"/>
              <w:rPr>
                <w:rFonts w:hint="default" w:ascii="Times New Roman" w:hAnsi="Times New Roman" w:eastAsia="仿宋_GB2312" w:cs="Times New Roman"/>
                <w:sz w:val="24"/>
              </w:rPr>
            </w:pPr>
          </w:p>
        </w:tc>
        <w:tc>
          <w:tcPr>
            <w:tcW w:w="148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978"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0.3477</w:t>
            </w:r>
          </w:p>
        </w:tc>
        <w:tc>
          <w:tcPr>
            <w:tcW w:w="114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41.724</w:t>
            </w:r>
          </w:p>
        </w:tc>
        <w:tc>
          <w:tcPr>
            <w:tcW w:w="1089"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60" w:type="dxa"/>
            <w:tcBorders>
              <w:bottom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41.724</w:t>
            </w:r>
          </w:p>
        </w:tc>
        <w:tc>
          <w:tcPr>
            <w:tcW w:w="1357"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8" w:type="dxa"/>
            <w:vMerge w:val="continue"/>
            <w:vAlign w:val="center"/>
          </w:tcPr>
          <w:p>
            <w:pPr>
              <w:jc w:val="center"/>
              <w:rPr>
                <w:rFonts w:hint="default" w:ascii="Times New Roman" w:hAnsi="Times New Roman" w:eastAsia="仿宋_GB2312" w:cs="Times New Roman"/>
                <w:sz w:val="24"/>
              </w:rPr>
            </w:pPr>
          </w:p>
        </w:tc>
        <w:tc>
          <w:tcPr>
            <w:tcW w:w="148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978"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14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089"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060"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357"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8" w:type="dxa"/>
            <w:vMerge w:val="continue"/>
            <w:vAlign w:val="center"/>
          </w:tcPr>
          <w:p>
            <w:pPr>
              <w:jc w:val="center"/>
              <w:rPr>
                <w:rFonts w:hint="default" w:ascii="Times New Roman" w:hAnsi="Times New Roman" w:eastAsia="仿宋_GB2312" w:cs="Times New Roman"/>
                <w:sz w:val="24"/>
              </w:rPr>
            </w:pPr>
          </w:p>
        </w:tc>
        <w:tc>
          <w:tcPr>
            <w:tcW w:w="148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97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.3764</w:t>
            </w:r>
          </w:p>
        </w:tc>
        <w:tc>
          <w:tcPr>
            <w:tcW w:w="114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90.336</w:t>
            </w:r>
          </w:p>
        </w:tc>
        <w:tc>
          <w:tcPr>
            <w:tcW w:w="1089"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060"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357"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90.336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8" w:type="dxa"/>
            <w:vMerge w:val="continue"/>
            <w:vAlign w:val="center"/>
          </w:tcPr>
          <w:p>
            <w:pPr>
              <w:jc w:val="center"/>
              <w:rPr>
                <w:rFonts w:hint="default" w:ascii="Times New Roman" w:hAnsi="Times New Roman" w:eastAsia="仿宋_GB2312" w:cs="Times New Roman"/>
                <w:sz w:val="24"/>
              </w:rPr>
            </w:pPr>
          </w:p>
        </w:tc>
        <w:tc>
          <w:tcPr>
            <w:tcW w:w="6850"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357"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1216.56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5.069公顷的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ascii="Times New Roman" w:hAnsi="Times New Roman" w:eastAsia="仿宋_GB2312" w:cs="Times New Roman"/>
          <w:sz w:val="32"/>
          <w:szCs w:val="32"/>
          <w:lang w:val="en-US" w:eastAsia="zh-CN"/>
        </w:rPr>
        <w:t>0.5069</w:t>
      </w:r>
      <w:r>
        <w:rPr>
          <w:rFonts w:hint="eastAsia" w:ascii="仿宋_GB2312" w:eastAsia="仿宋_GB2312"/>
          <w:sz w:val="32"/>
          <w:szCs w:val="32"/>
          <w:lang w:val="en-US" w:eastAsia="zh-CN"/>
        </w:rPr>
        <w:t>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default" w:ascii="Times New Roman" w:hAnsi="Times New Roman" w:eastAsia="仿宋_GB2312" w:cs="Times New Roman"/>
          <w:color w:val="auto"/>
          <w:sz w:val="32"/>
          <w:szCs w:val="32"/>
          <w:highlight w:val="none"/>
        </w:rPr>
        <w:t>拟在</w:t>
      </w:r>
      <w:r>
        <w:rPr>
          <w:rFonts w:hint="eastAsia" w:eastAsia="仿宋_GB2312" w:cs="Times New Roman"/>
          <w:color w:val="auto"/>
          <w:sz w:val="32"/>
          <w:szCs w:val="32"/>
          <w:highlight w:val="none"/>
          <w:lang w:eastAsia="zh-CN"/>
        </w:rPr>
        <w:t>广州市花都区</w:t>
      </w:r>
      <w:r>
        <w:rPr>
          <w:rFonts w:hint="eastAsia" w:eastAsia="仿宋_GB2312" w:cs="Times New Roman"/>
          <w:strike w:val="0"/>
          <w:color w:val="auto"/>
          <w:sz w:val="32"/>
          <w:szCs w:val="32"/>
          <w:highlight w:val="none"/>
          <w:u w:val="none"/>
          <w:lang w:eastAsia="zh-CN"/>
        </w:rPr>
        <w:t>（空港经济区）</w:t>
      </w:r>
      <w:r>
        <w:rPr>
          <w:rFonts w:hint="eastAsia" w:eastAsia="仿宋_GB2312" w:cs="Times New Roman"/>
          <w:color w:val="auto"/>
          <w:sz w:val="32"/>
          <w:szCs w:val="32"/>
          <w:highlight w:val="none"/>
          <w:lang w:val="en-US" w:eastAsia="zh-CN"/>
        </w:rPr>
        <w:t>2019年度第十七批次城镇建设用地（</w:t>
      </w:r>
      <w:bookmarkStart w:id="0" w:name="_GoBack"/>
      <w:bookmarkEnd w:id="0"/>
      <w:r>
        <w:rPr>
          <w:rFonts w:hint="eastAsia" w:eastAsia="仿宋_GB2312" w:cs="Times New Roman"/>
          <w:color w:val="auto"/>
          <w:sz w:val="32"/>
          <w:szCs w:val="32"/>
          <w:highlight w:val="none"/>
          <w:lang w:val="en-US" w:eastAsia="zh-CN"/>
        </w:rPr>
        <w:t>机场北进场路东一地块）（粤府土审（02）</w:t>
      </w:r>
      <w:r>
        <w:rPr>
          <w:rFonts w:hint="default" w:ascii="Times New Roman" w:hAnsi="Times New Roman" w:eastAsia="仿宋_GB2312" w:cs="Times New Roman"/>
          <w:color w:val="auto"/>
          <w:sz w:val="32"/>
          <w:szCs w:val="32"/>
          <w:highlight w:val="none"/>
          <w:lang w:val="en-US" w:eastAsia="zh-CN"/>
        </w:rPr>
        <w:t>〔201</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147号</w:t>
      </w:r>
      <w:r>
        <w:rPr>
          <w:rFonts w:hint="eastAsia"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lang w:eastAsia="zh-CN"/>
        </w:rPr>
        <w:t>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73F79"/>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67864"/>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37C3EFE"/>
    <w:rsid w:val="03E01FE4"/>
    <w:rsid w:val="047D565D"/>
    <w:rsid w:val="065276E0"/>
    <w:rsid w:val="07FF0820"/>
    <w:rsid w:val="08CB547B"/>
    <w:rsid w:val="09373001"/>
    <w:rsid w:val="09404714"/>
    <w:rsid w:val="0B906FBB"/>
    <w:rsid w:val="0C4869FB"/>
    <w:rsid w:val="0D883683"/>
    <w:rsid w:val="0D891A7F"/>
    <w:rsid w:val="0E364AD2"/>
    <w:rsid w:val="0E8E79F1"/>
    <w:rsid w:val="0F036D42"/>
    <w:rsid w:val="0F3963CE"/>
    <w:rsid w:val="0F7468AC"/>
    <w:rsid w:val="13E42AD2"/>
    <w:rsid w:val="159268A8"/>
    <w:rsid w:val="175775B7"/>
    <w:rsid w:val="184F155C"/>
    <w:rsid w:val="1A17381D"/>
    <w:rsid w:val="1A573AF4"/>
    <w:rsid w:val="1AAE50AD"/>
    <w:rsid w:val="1B67425E"/>
    <w:rsid w:val="1C4D5A34"/>
    <w:rsid w:val="203A116E"/>
    <w:rsid w:val="275707D2"/>
    <w:rsid w:val="27E97FA4"/>
    <w:rsid w:val="28093858"/>
    <w:rsid w:val="288F73CA"/>
    <w:rsid w:val="289B209A"/>
    <w:rsid w:val="299339F2"/>
    <w:rsid w:val="2AC103B1"/>
    <w:rsid w:val="2B882E7B"/>
    <w:rsid w:val="2BF1075D"/>
    <w:rsid w:val="2D90011F"/>
    <w:rsid w:val="2DA6263C"/>
    <w:rsid w:val="2DD84CF8"/>
    <w:rsid w:val="2F663A15"/>
    <w:rsid w:val="30E22ED7"/>
    <w:rsid w:val="32D76209"/>
    <w:rsid w:val="357743B4"/>
    <w:rsid w:val="36816639"/>
    <w:rsid w:val="3C38025F"/>
    <w:rsid w:val="3C992538"/>
    <w:rsid w:val="3DE744E4"/>
    <w:rsid w:val="3F3B12E2"/>
    <w:rsid w:val="425858EE"/>
    <w:rsid w:val="43232767"/>
    <w:rsid w:val="44675355"/>
    <w:rsid w:val="45296E84"/>
    <w:rsid w:val="45DB2F51"/>
    <w:rsid w:val="46212862"/>
    <w:rsid w:val="4692478F"/>
    <w:rsid w:val="47C40AA6"/>
    <w:rsid w:val="47F1468F"/>
    <w:rsid w:val="48F86CA3"/>
    <w:rsid w:val="494E5AF8"/>
    <w:rsid w:val="49BC6D6A"/>
    <w:rsid w:val="4A5C31FC"/>
    <w:rsid w:val="4AFB2D00"/>
    <w:rsid w:val="4B3F663F"/>
    <w:rsid w:val="4B4134D5"/>
    <w:rsid w:val="4B442BE5"/>
    <w:rsid w:val="4B8D0C61"/>
    <w:rsid w:val="4F022724"/>
    <w:rsid w:val="50AE7763"/>
    <w:rsid w:val="53CB23A2"/>
    <w:rsid w:val="54877B05"/>
    <w:rsid w:val="55287395"/>
    <w:rsid w:val="56EF7619"/>
    <w:rsid w:val="572C1E49"/>
    <w:rsid w:val="58021AF1"/>
    <w:rsid w:val="588E5B38"/>
    <w:rsid w:val="599841B4"/>
    <w:rsid w:val="5BB54BA8"/>
    <w:rsid w:val="5F19102D"/>
    <w:rsid w:val="622845F4"/>
    <w:rsid w:val="6A2503CE"/>
    <w:rsid w:val="6B3D53FB"/>
    <w:rsid w:val="6CBE7758"/>
    <w:rsid w:val="6D4C5CE1"/>
    <w:rsid w:val="6DA74974"/>
    <w:rsid w:val="6FD425A4"/>
    <w:rsid w:val="71E956BE"/>
    <w:rsid w:val="72EE757E"/>
    <w:rsid w:val="73C32F03"/>
    <w:rsid w:val="76C951AF"/>
    <w:rsid w:val="77C02D1E"/>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2</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夏财源</cp:lastModifiedBy>
  <cp:lastPrinted>2022-07-28T07:06:55Z</cp:lastPrinted>
  <dcterms:modified xsi:type="dcterms:W3CDTF">2022-07-28T07:07:02Z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