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sz w:val="28"/>
          <w:szCs w:val="28"/>
        </w:rPr>
      </w:pPr>
      <w:bookmarkStart w:id="0" w:name="_GoBack"/>
      <w:bookmarkEnd w:id="0"/>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olor w:val="000000"/>
          <w:sz w:val="44"/>
          <w:szCs w:val="44"/>
          <w:highlight w:val="none"/>
          <w:lang w:eastAsia="zh-CN"/>
        </w:rPr>
      </w:pPr>
      <w:r>
        <w:rPr>
          <w:rFonts w:hint="default" w:ascii="Times New Roman" w:hAnsi="Times New Roman" w:eastAsia="方正小标宋简体" w:cs="Times New Roman"/>
          <w:sz w:val="44"/>
          <w:szCs w:val="44"/>
        </w:rPr>
        <w:t>关于</w:t>
      </w:r>
      <w:r>
        <w:rPr>
          <w:rFonts w:hint="eastAsia" w:ascii="方正小标宋简体" w:hAnsi="宋体" w:eastAsia="方正小标宋简体"/>
          <w:color w:val="000000"/>
          <w:sz w:val="44"/>
          <w:szCs w:val="44"/>
          <w:highlight w:val="none"/>
        </w:rPr>
        <w:t>广州市花都区（空港经济区）2022年度第</w:t>
      </w:r>
      <w:r>
        <w:rPr>
          <w:rFonts w:hint="eastAsia" w:ascii="方正小标宋简体" w:hAnsi="宋体" w:eastAsia="方正小标宋简体"/>
          <w:color w:val="000000"/>
          <w:sz w:val="44"/>
          <w:szCs w:val="44"/>
          <w:highlight w:val="none"/>
          <w:lang w:eastAsia="zh-CN"/>
        </w:rPr>
        <w:t>十六</w:t>
      </w:r>
      <w:r>
        <w:rPr>
          <w:rFonts w:hint="eastAsia" w:ascii="方正小标宋简体" w:hAnsi="宋体" w:eastAsia="方正小标宋简体"/>
          <w:color w:val="000000"/>
          <w:sz w:val="44"/>
          <w:szCs w:val="44"/>
          <w:highlight w:val="none"/>
        </w:rPr>
        <w:t>批次城镇建设用地（</w:t>
      </w:r>
      <w:r>
        <w:rPr>
          <w:rFonts w:hint="eastAsia" w:ascii="方正小标宋简体" w:hAnsi="宋体" w:eastAsia="方正小标宋简体"/>
          <w:color w:val="000000"/>
          <w:sz w:val="44"/>
          <w:szCs w:val="44"/>
          <w:highlight w:val="none"/>
          <w:lang w:eastAsia="zh-CN"/>
        </w:rPr>
        <w:t>综保区三期项目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eastAsia" w:ascii="方正小标宋简体" w:hAnsi="宋体" w:eastAsia="方正小标宋简体"/>
          <w:color w:val="000000"/>
          <w:sz w:val="44"/>
          <w:szCs w:val="44"/>
          <w:highlight w:val="none"/>
          <w:lang w:eastAsia="zh-CN"/>
        </w:rPr>
        <w:t>地块一</w:t>
      </w:r>
      <w:r>
        <w:rPr>
          <w:rFonts w:hint="eastAsia" w:ascii="方正小标宋简体" w:hAnsi="宋体" w:eastAsia="方正小标宋简体"/>
          <w:color w:val="000000"/>
          <w:sz w:val="44"/>
          <w:szCs w:val="44"/>
          <w:highlight w:val="none"/>
        </w:rPr>
        <w:t>）</w:t>
      </w:r>
      <w:r>
        <w:rPr>
          <w:rFonts w:hint="eastAsia" w:ascii="方正小标宋简体" w:hAnsi="宋体" w:eastAsia="方正小标宋简体"/>
          <w:color w:val="000000"/>
          <w:sz w:val="44"/>
          <w:szCs w:val="44"/>
          <w:highlight w:val="none"/>
          <w:lang w:eastAsia="zh-CN"/>
        </w:rPr>
        <w:t>的</w:t>
      </w:r>
      <w:r>
        <w:rPr>
          <w:rFonts w:hint="default" w:ascii="Times New Roman" w:hAnsi="Times New Roman" w:eastAsia="方正小标宋简体" w:cs="Times New Roman"/>
          <w:sz w:val="44"/>
          <w:szCs w:val="44"/>
        </w:rPr>
        <w:t>征地补偿安置方案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为实施广州市花都区</w:t>
      </w:r>
      <w:r>
        <w:rPr>
          <w:rFonts w:hint="eastAsia" w:eastAsia="仿宋_GB2312" w:cs="Times New Roman"/>
          <w:sz w:val="32"/>
          <w:lang w:eastAsia="zh-CN"/>
        </w:rPr>
        <w:t>花东</w:t>
      </w:r>
      <w:r>
        <w:rPr>
          <w:rFonts w:hint="eastAsia" w:eastAsia="仿宋_GB2312" w:cs="Times New Roman"/>
          <w:sz w:val="32"/>
          <w:highlight w:val="none"/>
          <w:lang w:val="en-US" w:eastAsia="zh-CN"/>
        </w:rPr>
        <w:t>镇</w:t>
      </w:r>
      <w:r>
        <w:rPr>
          <w:rFonts w:hint="default" w:ascii="Times New Roman" w:hAnsi="Times New Roman" w:eastAsia="仿宋_GB2312" w:cs="Times New Roman"/>
          <w:sz w:val="32"/>
        </w:rPr>
        <w:t>建设规划，完善城市功能，改善城市环境，促进经济、文化发展。我区拟征收</w:t>
      </w:r>
      <w:r>
        <w:rPr>
          <w:rFonts w:hint="default" w:ascii="Times New Roman" w:hAnsi="Times New Roman" w:eastAsia="仿宋_GB2312" w:cs="Times New Roman"/>
          <w:sz w:val="32"/>
          <w:highlight w:val="none"/>
        </w:rPr>
        <w:t>广州市花都区</w:t>
      </w:r>
      <w:r>
        <w:rPr>
          <w:rFonts w:hint="eastAsia" w:eastAsia="仿宋_GB2312" w:cs="Times New Roman"/>
          <w:sz w:val="32"/>
          <w:szCs w:val="32"/>
          <w:highlight w:val="none"/>
          <w:lang w:val="en-US" w:eastAsia="zh-CN"/>
        </w:rPr>
        <w:t>花东镇山下经济联合社，山下村</w:t>
      </w:r>
      <w:r>
        <w:rPr>
          <w:rFonts w:hint="eastAsia" w:ascii="Times New Roman" w:hAnsi="Times New Roman" w:eastAsia="仿宋_GB2312" w:cs="Times New Roman"/>
          <w:sz w:val="32"/>
          <w:szCs w:val="32"/>
          <w:highlight w:val="none"/>
          <w:lang w:val="en-US" w:eastAsia="zh-CN"/>
        </w:rPr>
        <w:t>第二经济合作社、第十经济合作社</w:t>
      </w:r>
      <w:r>
        <w:rPr>
          <w:rFonts w:hint="eastAsia" w:eastAsia="仿宋_GB2312" w:cs="Times New Roman"/>
          <w:sz w:val="32"/>
          <w:szCs w:val="32"/>
          <w:highlight w:val="none"/>
          <w:lang w:val="en-US" w:eastAsia="zh-CN"/>
        </w:rPr>
        <w:t>（共有），山下村</w:t>
      </w:r>
      <w:r>
        <w:rPr>
          <w:rFonts w:hint="eastAsia" w:ascii="Times New Roman" w:hAnsi="Times New Roman" w:eastAsia="仿宋_GB2312" w:cs="Times New Roman"/>
          <w:sz w:val="32"/>
          <w:szCs w:val="32"/>
          <w:highlight w:val="none"/>
          <w:lang w:val="en-US" w:eastAsia="zh-CN"/>
        </w:rPr>
        <w:t>第十一经济合作社</w:t>
      </w:r>
      <w:r>
        <w:rPr>
          <w:rFonts w:hint="eastAsia" w:eastAsia="仿宋_GB2312" w:cs="Times New Roman"/>
          <w:sz w:val="32"/>
          <w:szCs w:val="32"/>
          <w:highlight w:val="none"/>
          <w:lang w:val="en-US" w:eastAsia="zh-CN"/>
        </w:rPr>
        <w:t>，山下村</w:t>
      </w:r>
      <w:r>
        <w:rPr>
          <w:rFonts w:hint="eastAsia" w:ascii="Times New Roman" w:hAnsi="Times New Roman" w:eastAsia="仿宋_GB2312" w:cs="Times New Roman"/>
          <w:sz w:val="32"/>
          <w:szCs w:val="32"/>
          <w:highlight w:val="none"/>
          <w:lang w:val="en-US" w:eastAsia="zh-CN"/>
        </w:rPr>
        <w:t>第十二经济合作社</w:t>
      </w:r>
      <w:r>
        <w:rPr>
          <w:rFonts w:hint="eastAsia" w:eastAsia="仿宋_GB2312" w:cs="Times New Roman"/>
          <w:sz w:val="32"/>
          <w:szCs w:val="32"/>
          <w:highlight w:val="none"/>
          <w:lang w:val="en-US" w:eastAsia="zh-CN"/>
        </w:rPr>
        <w:t>，山下</w:t>
      </w:r>
      <w:r>
        <w:rPr>
          <w:rFonts w:hint="eastAsia" w:ascii="Times New Roman" w:hAnsi="Times New Roman" w:eastAsia="仿宋_GB2312" w:cs="Times New Roman"/>
          <w:sz w:val="32"/>
          <w:szCs w:val="32"/>
          <w:highlight w:val="none"/>
          <w:lang w:val="en-US" w:eastAsia="zh-CN"/>
        </w:rPr>
        <w:t>第十三经济合作社</w:t>
      </w:r>
      <w:r>
        <w:rPr>
          <w:rFonts w:hint="eastAsia" w:eastAsia="仿宋_GB2312" w:cs="Times New Roman"/>
          <w:sz w:val="32"/>
          <w:szCs w:val="32"/>
          <w:highlight w:val="none"/>
          <w:lang w:val="en-US" w:eastAsia="zh-CN"/>
        </w:rPr>
        <w:t>，山下</w:t>
      </w:r>
      <w:r>
        <w:rPr>
          <w:rFonts w:hint="eastAsia" w:ascii="Times New Roman" w:hAnsi="Times New Roman" w:eastAsia="仿宋_GB2312" w:cs="Times New Roman"/>
          <w:sz w:val="32"/>
          <w:szCs w:val="32"/>
          <w:highlight w:val="none"/>
          <w:lang w:val="en-US" w:eastAsia="zh-CN"/>
        </w:rPr>
        <w:t>第十五经济合作社属</w:t>
      </w:r>
      <w:r>
        <w:rPr>
          <w:rFonts w:hint="eastAsia" w:eastAsia="仿宋_GB2312"/>
          <w:sz w:val="32"/>
          <w:szCs w:val="32"/>
          <w:lang w:eastAsia="zh-CN"/>
        </w:rPr>
        <w:t>下的</w:t>
      </w:r>
      <w:r>
        <w:rPr>
          <w:rFonts w:hint="eastAsia" w:eastAsia="仿宋_GB2312"/>
          <w:sz w:val="32"/>
          <w:szCs w:val="32"/>
        </w:rPr>
        <w:t>集体土地</w:t>
      </w:r>
      <w:r>
        <w:rPr>
          <w:rFonts w:hint="eastAsia" w:eastAsia="仿宋_GB2312" w:cs="Times New Roman"/>
          <w:sz w:val="32"/>
          <w:szCs w:val="32"/>
          <w:highlight w:val="none"/>
          <w:lang w:val="en-US" w:eastAsia="zh-CN"/>
        </w:rPr>
        <w:t>26.9492</w:t>
      </w:r>
      <w:r>
        <w:rPr>
          <w:rFonts w:hint="default" w:ascii="Times New Roman" w:hAnsi="Times New Roman" w:eastAsia="仿宋_GB2312" w:cs="Times New Roman"/>
          <w:sz w:val="32"/>
          <w:highlight w:val="none"/>
        </w:rPr>
        <w:t>公顷</w:t>
      </w:r>
      <w:r>
        <w:rPr>
          <w:rFonts w:hint="eastAsia"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三凤村第一经济合作社属</w:t>
      </w:r>
      <w:r>
        <w:rPr>
          <w:rFonts w:hint="eastAsia" w:eastAsia="仿宋_GB2312"/>
          <w:sz w:val="32"/>
          <w:szCs w:val="32"/>
          <w:lang w:eastAsia="zh-CN"/>
        </w:rPr>
        <w:t>下的</w:t>
      </w:r>
      <w:r>
        <w:rPr>
          <w:rFonts w:hint="eastAsia" w:eastAsia="仿宋_GB2312"/>
          <w:sz w:val="32"/>
          <w:szCs w:val="32"/>
        </w:rPr>
        <w:t>集体土地</w:t>
      </w:r>
      <w:r>
        <w:rPr>
          <w:rFonts w:hint="eastAsia" w:eastAsia="仿宋_GB2312" w:cs="Times New Roman"/>
          <w:sz w:val="32"/>
          <w:szCs w:val="32"/>
          <w:highlight w:val="none"/>
          <w:lang w:val="en-US" w:eastAsia="zh-CN"/>
        </w:rPr>
        <w:t>1.6823</w:t>
      </w:r>
      <w:r>
        <w:rPr>
          <w:rFonts w:hint="default" w:ascii="Times New Roman" w:hAnsi="Times New Roman" w:eastAsia="仿宋_GB2312" w:cs="Times New Roman"/>
          <w:sz w:val="32"/>
          <w:highlight w:val="none"/>
        </w:rPr>
        <w:t>公顷</w:t>
      </w:r>
      <w:r>
        <w:rPr>
          <w:rFonts w:hint="eastAsia"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南溪经济联合社</w:t>
      </w:r>
      <w:r>
        <w:rPr>
          <w:rFonts w:hint="eastAsia" w:eastAsia="仿宋_GB2312" w:cs="Times New Roman"/>
          <w:sz w:val="32"/>
          <w:szCs w:val="32"/>
          <w:highlight w:val="none"/>
          <w:lang w:val="en-US" w:eastAsia="zh-CN"/>
        </w:rPr>
        <w:t>，南溪经济联合社、南溪村</w:t>
      </w:r>
      <w:r>
        <w:rPr>
          <w:rFonts w:hint="eastAsia" w:ascii="Times New Roman" w:hAnsi="Times New Roman" w:eastAsia="仿宋_GB2312" w:cs="Times New Roman"/>
          <w:sz w:val="32"/>
          <w:szCs w:val="32"/>
          <w:highlight w:val="none"/>
          <w:lang w:val="en-US" w:eastAsia="zh-CN"/>
        </w:rPr>
        <w:t>第二经济合作社</w:t>
      </w:r>
      <w:r>
        <w:rPr>
          <w:rFonts w:hint="eastAsia" w:eastAsia="仿宋_GB2312" w:cs="Times New Roman"/>
          <w:sz w:val="32"/>
          <w:szCs w:val="32"/>
          <w:highlight w:val="none"/>
          <w:lang w:val="en-US" w:eastAsia="zh-CN"/>
        </w:rPr>
        <w:t>（共有），南溪村</w:t>
      </w:r>
      <w:r>
        <w:rPr>
          <w:rFonts w:hint="eastAsia" w:ascii="Times New Roman" w:hAnsi="Times New Roman" w:eastAsia="仿宋_GB2312" w:cs="Times New Roman"/>
          <w:sz w:val="32"/>
          <w:szCs w:val="32"/>
          <w:highlight w:val="none"/>
          <w:lang w:val="en-US" w:eastAsia="zh-CN"/>
        </w:rPr>
        <w:t>第三经济合作社、第四经济合作社</w:t>
      </w:r>
      <w:r>
        <w:rPr>
          <w:rFonts w:hint="eastAsia" w:eastAsia="仿宋_GB2312" w:cs="Times New Roman"/>
          <w:sz w:val="32"/>
          <w:szCs w:val="32"/>
          <w:highlight w:val="none"/>
          <w:lang w:val="en-US" w:eastAsia="zh-CN"/>
        </w:rPr>
        <w:t>（共有），南溪村</w:t>
      </w:r>
      <w:r>
        <w:rPr>
          <w:rFonts w:hint="eastAsia" w:ascii="Times New Roman" w:hAnsi="Times New Roman" w:eastAsia="仿宋_GB2312" w:cs="Times New Roman"/>
          <w:sz w:val="32"/>
          <w:szCs w:val="32"/>
          <w:highlight w:val="none"/>
          <w:lang w:val="en-US" w:eastAsia="zh-CN"/>
        </w:rPr>
        <w:t>第三经济合作社</w:t>
      </w:r>
      <w:r>
        <w:rPr>
          <w:rFonts w:hint="eastAsia" w:eastAsia="仿宋_GB2312" w:cs="Times New Roman"/>
          <w:sz w:val="32"/>
          <w:szCs w:val="32"/>
          <w:highlight w:val="none"/>
          <w:lang w:val="en-US" w:eastAsia="zh-CN"/>
        </w:rPr>
        <w:t>，南溪村</w:t>
      </w:r>
      <w:r>
        <w:rPr>
          <w:rFonts w:hint="eastAsia" w:ascii="Times New Roman" w:hAnsi="Times New Roman" w:eastAsia="仿宋_GB2312" w:cs="Times New Roman"/>
          <w:sz w:val="32"/>
          <w:szCs w:val="32"/>
          <w:highlight w:val="none"/>
          <w:lang w:val="en-US" w:eastAsia="zh-CN"/>
        </w:rPr>
        <w:t>第四经济合作社</w:t>
      </w:r>
      <w:r>
        <w:rPr>
          <w:rFonts w:hint="eastAsia" w:eastAsia="仿宋_GB2312" w:cs="Times New Roman"/>
          <w:sz w:val="32"/>
          <w:szCs w:val="32"/>
          <w:highlight w:val="none"/>
          <w:lang w:val="en-US" w:eastAsia="zh-CN"/>
        </w:rPr>
        <w:t>，南溪村</w:t>
      </w:r>
      <w:r>
        <w:rPr>
          <w:rFonts w:hint="eastAsia" w:ascii="Times New Roman" w:hAnsi="Times New Roman" w:eastAsia="仿宋_GB2312" w:cs="Times New Roman"/>
          <w:sz w:val="32"/>
          <w:szCs w:val="32"/>
          <w:highlight w:val="none"/>
          <w:lang w:val="en-US" w:eastAsia="zh-CN"/>
        </w:rPr>
        <w:t>第五经济合作社</w:t>
      </w:r>
      <w:r>
        <w:rPr>
          <w:rFonts w:hint="eastAsia" w:eastAsia="仿宋_GB2312" w:cs="Times New Roman"/>
          <w:sz w:val="32"/>
          <w:szCs w:val="32"/>
          <w:highlight w:val="none"/>
          <w:lang w:val="en-US" w:eastAsia="zh-CN"/>
        </w:rPr>
        <w:t>，南溪村</w:t>
      </w:r>
      <w:r>
        <w:rPr>
          <w:rFonts w:hint="eastAsia" w:ascii="Times New Roman" w:hAnsi="Times New Roman" w:eastAsia="仿宋_GB2312" w:cs="Times New Roman"/>
          <w:sz w:val="32"/>
          <w:szCs w:val="32"/>
          <w:highlight w:val="none"/>
          <w:lang w:val="en-US" w:eastAsia="zh-CN"/>
        </w:rPr>
        <w:t>第六经济合作社属</w:t>
      </w:r>
      <w:r>
        <w:rPr>
          <w:rFonts w:hint="eastAsia" w:eastAsia="仿宋_GB2312"/>
          <w:sz w:val="32"/>
          <w:szCs w:val="32"/>
          <w:lang w:eastAsia="zh-CN"/>
        </w:rPr>
        <w:t>下的</w:t>
      </w:r>
      <w:r>
        <w:rPr>
          <w:rFonts w:hint="eastAsia" w:eastAsia="仿宋_GB2312"/>
          <w:sz w:val="32"/>
          <w:szCs w:val="32"/>
        </w:rPr>
        <w:t>集体土地</w:t>
      </w:r>
      <w:r>
        <w:rPr>
          <w:rFonts w:hint="eastAsia" w:eastAsia="仿宋_GB2312" w:cs="Times New Roman"/>
          <w:sz w:val="32"/>
          <w:szCs w:val="32"/>
          <w:highlight w:val="none"/>
          <w:lang w:val="en-US" w:eastAsia="zh-CN"/>
        </w:rPr>
        <w:t>16.7065</w:t>
      </w:r>
      <w:r>
        <w:rPr>
          <w:rFonts w:hint="default" w:ascii="Times New Roman" w:hAnsi="Times New Roman" w:eastAsia="仿宋_GB2312" w:cs="Times New Roman"/>
          <w:sz w:val="32"/>
          <w:highlight w:val="none"/>
        </w:rPr>
        <w:t>公顷</w:t>
      </w:r>
      <w:r>
        <w:rPr>
          <w:rFonts w:hint="eastAsia"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九一经济联合社属</w:t>
      </w:r>
      <w:r>
        <w:rPr>
          <w:rFonts w:hint="eastAsia" w:eastAsia="仿宋_GB2312"/>
          <w:sz w:val="32"/>
          <w:szCs w:val="32"/>
          <w:lang w:eastAsia="zh-CN"/>
        </w:rPr>
        <w:t>下的</w:t>
      </w:r>
      <w:r>
        <w:rPr>
          <w:rFonts w:hint="eastAsia" w:eastAsia="仿宋_GB2312"/>
          <w:sz w:val="32"/>
          <w:szCs w:val="32"/>
        </w:rPr>
        <w:t>集体土地</w:t>
      </w:r>
      <w:r>
        <w:rPr>
          <w:rFonts w:hint="eastAsia" w:eastAsia="仿宋_GB2312" w:cs="Times New Roman"/>
          <w:sz w:val="32"/>
          <w:szCs w:val="32"/>
          <w:highlight w:val="none"/>
          <w:lang w:val="en-US" w:eastAsia="zh-CN"/>
        </w:rPr>
        <w:t>1.6851公顷，合计</w:t>
      </w:r>
      <w:r>
        <w:rPr>
          <w:rFonts w:hint="eastAsia" w:eastAsia="仿宋_GB2312"/>
          <w:sz w:val="32"/>
          <w:szCs w:val="32"/>
          <w:lang w:val="en-US" w:eastAsia="zh-CN"/>
        </w:rPr>
        <w:t>47.0231</w:t>
      </w:r>
      <w:r>
        <w:rPr>
          <w:rFonts w:hint="eastAsia" w:hAnsi="仿宋_GB2312" w:eastAsia="仿宋_GB2312"/>
          <w:sz w:val="32"/>
          <w:szCs w:val="32"/>
        </w:rPr>
        <w:t>公顷</w:t>
      </w:r>
      <w:r>
        <w:rPr>
          <w:rFonts w:hint="default" w:ascii="Times New Roman" w:hAnsi="Times New Roman" w:eastAsia="仿宋_GB2312" w:cs="Times New Roman"/>
          <w:sz w:val="32"/>
        </w:rPr>
        <w:t>。根据《中华人民共和国土地管理法》第二条、第四十五条、第四十七条有关规定精神、《广东省实施&lt;中华人民共和国土地管理法&gt;办法》第三十条等规定，</w:t>
      </w:r>
      <w:r>
        <w:rPr>
          <w:rFonts w:hint="default" w:ascii="Times New Roman" w:hAnsi="Times New Roman" w:eastAsia="仿宋_GB2312" w:cs="Times New Roman"/>
          <w:sz w:val="32"/>
          <w:szCs w:val="32"/>
        </w:rPr>
        <w:t>结合我区的征收农用地区片综合地价和实际情况，拟定了征地补偿安置方案，具体如下：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rPr>
      </w:pPr>
      <w:r>
        <w:rPr>
          <w:rFonts w:hint="default" w:ascii="Times New Roman" w:hAnsi="Times New Roman" w:eastAsia="黑体" w:cs="Times New Roman"/>
          <w:sz w:val="32"/>
        </w:rPr>
        <w:t>一、征收集体土地情况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sz w:val="32"/>
          <w:highlight w:val="none"/>
          <w:lang w:val="en-US" w:eastAsia="zh-CN"/>
        </w:rPr>
      </w:pPr>
      <w:r>
        <w:rPr>
          <w:rFonts w:hint="default" w:ascii="Times New Roman" w:hAnsi="Times New Roman" w:eastAsia="仿宋_GB2312" w:cs="Times New Roman"/>
          <w:sz w:val="32"/>
          <w:highlight w:val="none"/>
        </w:rPr>
        <w:t>征收广州市花都区</w:t>
      </w:r>
      <w:r>
        <w:rPr>
          <w:rFonts w:hint="eastAsia" w:eastAsia="仿宋_GB2312" w:cs="Times New Roman"/>
          <w:sz w:val="32"/>
          <w:szCs w:val="32"/>
          <w:highlight w:val="none"/>
          <w:lang w:val="en-US" w:eastAsia="zh-CN"/>
        </w:rPr>
        <w:t>花东镇山下村</w:t>
      </w:r>
      <w:r>
        <w:rPr>
          <w:rFonts w:hint="default" w:ascii="Times New Roman" w:hAnsi="Times New Roman" w:eastAsia="仿宋_GB2312" w:cs="Times New Roman"/>
          <w:sz w:val="32"/>
          <w:szCs w:val="32"/>
          <w:highlight w:val="none"/>
        </w:rPr>
        <w:t>集体土地面</w:t>
      </w:r>
      <w:r>
        <w:rPr>
          <w:rFonts w:hint="default" w:ascii="Times New Roman" w:hAnsi="Times New Roman" w:eastAsia="仿宋_GB2312" w:cs="Times New Roman"/>
          <w:sz w:val="32"/>
          <w:highlight w:val="none"/>
        </w:rPr>
        <w:t>积</w:t>
      </w:r>
      <w:r>
        <w:rPr>
          <w:rFonts w:hint="eastAsia" w:eastAsia="仿宋_GB2312" w:cs="Times New Roman"/>
          <w:sz w:val="32"/>
          <w:szCs w:val="32"/>
          <w:highlight w:val="none"/>
          <w:lang w:val="en-US" w:eastAsia="zh-CN"/>
        </w:rPr>
        <w:t>26.9492</w:t>
      </w:r>
      <w:r>
        <w:rPr>
          <w:rFonts w:hint="default" w:ascii="Times New Roman" w:hAnsi="Times New Roman" w:eastAsia="仿宋_GB2312" w:cs="Times New Roman"/>
          <w:sz w:val="32"/>
          <w:highlight w:val="none"/>
        </w:rPr>
        <w:t>公顷，</w:t>
      </w:r>
      <w:r>
        <w:rPr>
          <w:rFonts w:hint="eastAsia" w:eastAsia="仿宋_GB2312" w:cs="Times New Roman"/>
          <w:sz w:val="32"/>
          <w:highlight w:val="none"/>
          <w:lang w:eastAsia="zh-CN"/>
        </w:rPr>
        <w:t>其中农用地</w:t>
      </w:r>
      <w:r>
        <w:rPr>
          <w:rFonts w:hint="eastAsia" w:eastAsia="仿宋_GB2312" w:cs="Times New Roman"/>
          <w:sz w:val="32"/>
          <w:highlight w:val="none"/>
          <w:lang w:val="en-US" w:eastAsia="zh-CN"/>
        </w:rPr>
        <w:t>20.1868公顷（耕地6.7313公顷、园地11.7422公顷、林地0.6759公顷、其他农用地1.0374公顷）、</w:t>
      </w:r>
      <w:r>
        <w:rPr>
          <w:rFonts w:hint="default" w:ascii="Times New Roman" w:hAnsi="Times New Roman" w:eastAsia="仿宋_GB2312" w:cs="Times New Roman"/>
          <w:sz w:val="32"/>
          <w:highlight w:val="none"/>
        </w:rPr>
        <w:t>建设用地</w:t>
      </w:r>
      <w:r>
        <w:rPr>
          <w:rFonts w:hint="eastAsia" w:eastAsia="仿宋_GB2312" w:cs="Times New Roman"/>
          <w:sz w:val="32"/>
          <w:highlight w:val="none"/>
          <w:lang w:val="en-US" w:eastAsia="zh-CN"/>
        </w:rPr>
        <w:t>0.3181公顷、未利用地6.4443公顷。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sz w:val="32"/>
          <w:highlight w:val="none"/>
          <w:lang w:val="en-US" w:eastAsia="zh-CN"/>
        </w:rPr>
      </w:pPr>
      <w:r>
        <w:rPr>
          <w:rFonts w:hint="default" w:ascii="Times New Roman" w:hAnsi="Times New Roman" w:eastAsia="仿宋_GB2312" w:cs="Times New Roman"/>
          <w:sz w:val="32"/>
          <w:highlight w:val="none"/>
        </w:rPr>
        <w:t>征收广州市花都区</w:t>
      </w:r>
      <w:r>
        <w:rPr>
          <w:rFonts w:hint="eastAsia" w:eastAsia="仿宋_GB2312" w:cs="Times New Roman"/>
          <w:sz w:val="32"/>
          <w:szCs w:val="32"/>
          <w:highlight w:val="none"/>
          <w:lang w:val="en-US" w:eastAsia="zh-CN"/>
        </w:rPr>
        <w:t>花东镇三凤</w:t>
      </w:r>
      <w:r>
        <w:rPr>
          <w:rFonts w:hint="default" w:ascii="Times New Roman" w:hAnsi="Times New Roman" w:eastAsia="仿宋_GB2312" w:cs="Times New Roman"/>
          <w:sz w:val="32"/>
          <w:szCs w:val="32"/>
          <w:highlight w:val="none"/>
        </w:rPr>
        <w:t>村集体土地面积</w:t>
      </w:r>
      <w:r>
        <w:rPr>
          <w:rFonts w:hint="eastAsia" w:eastAsia="仿宋_GB2312" w:cs="Times New Roman"/>
          <w:sz w:val="32"/>
          <w:szCs w:val="32"/>
          <w:highlight w:val="none"/>
          <w:lang w:val="en-US" w:eastAsia="zh-CN"/>
        </w:rPr>
        <w:t>1.6823</w:t>
      </w:r>
      <w:r>
        <w:rPr>
          <w:rFonts w:hint="default" w:ascii="Times New Roman" w:hAnsi="Times New Roman" w:eastAsia="仿宋_GB2312" w:cs="Times New Roman"/>
          <w:sz w:val="32"/>
          <w:highlight w:val="none"/>
        </w:rPr>
        <w:t>公顷，</w:t>
      </w:r>
      <w:r>
        <w:rPr>
          <w:rFonts w:hint="eastAsia" w:eastAsia="仿宋_GB2312" w:cs="Times New Roman"/>
          <w:sz w:val="32"/>
          <w:highlight w:val="none"/>
          <w:lang w:eastAsia="zh-CN"/>
        </w:rPr>
        <w:t>其中农用地</w:t>
      </w:r>
      <w:r>
        <w:rPr>
          <w:rFonts w:hint="eastAsia" w:eastAsia="仿宋_GB2312" w:cs="Times New Roman"/>
          <w:sz w:val="32"/>
          <w:highlight w:val="none"/>
          <w:lang w:val="en-US" w:eastAsia="zh-CN"/>
        </w:rPr>
        <w:t>1.6346公顷（耕地0.1116公顷、园地1.3949公顷、其他农用地0.1281公顷）、未利用地0.0477公顷。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sz w:val="32"/>
          <w:highlight w:val="none"/>
          <w:lang w:val="en-US" w:eastAsia="zh-CN"/>
        </w:rPr>
      </w:pPr>
      <w:r>
        <w:rPr>
          <w:rFonts w:hint="default" w:ascii="Times New Roman" w:hAnsi="Times New Roman" w:eastAsia="仿宋_GB2312" w:cs="Times New Roman"/>
          <w:sz w:val="32"/>
          <w:highlight w:val="none"/>
        </w:rPr>
        <w:t>征收广州市花都区</w:t>
      </w:r>
      <w:r>
        <w:rPr>
          <w:rFonts w:hint="eastAsia" w:eastAsia="仿宋_GB2312" w:cs="Times New Roman"/>
          <w:sz w:val="32"/>
          <w:szCs w:val="32"/>
          <w:highlight w:val="none"/>
          <w:lang w:val="en-US" w:eastAsia="zh-CN"/>
        </w:rPr>
        <w:t>花东镇南溪村</w:t>
      </w:r>
      <w:r>
        <w:rPr>
          <w:rFonts w:hint="default" w:ascii="Times New Roman" w:hAnsi="Times New Roman" w:eastAsia="仿宋_GB2312" w:cs="Times New Roman"/>
          <w:sz w:val="32"/>
          <w:szCs w:val="32"/>
          <w:highlight w:val="none"/>
        </w:rPr>
        <w:t>集体土地面积</w:t>
      </w:r>
      <w:r>
        <w:rPr>
          <w:rFonts w:hint="eastAsia" w:eastAsia="仿宋_GB2312" w:cs="Times New Roman"/>
          <w:sz w:val="32"/>
          <w:szCs w:val="32"/>
          <w:highlight w:val="none"/>
          <w:lang w:val="en-US" w:eastAsia="zh-CN"/>
        </w:rPr>
        <w:t>16.7065</w:t>
      </w:r>
      <w:r>
        <w:rPr>
          <w:rFonts w:hint="default" w:ascii="Times New Roman" w:hAnsi="Times New Roman" w:eastAsia="仿宋_GB2312" w:cs="Times New Roman"/>
          <w:sz w:val="32"/>
          <w:highlight w:val="none"/>
        </w:rPr>
        <w:t>公顷，</w:t>
      </w:r>
      <w:r>
        <w:rPr>
          <w:rFonts w:hint="eastAsia" w:eastAsia="仿宋_GB2312" w:cs="Times New Roman"/>
          <w:sz w:val="32"/>
          <w:highlight w:val="none"/>
          <w:lang w:eastAsia="zh-CN"/>
        </w:rPr>
        <w:t>其中农用地</w:t>
      </w:r>
      <w:r>
        <w:rPr>
          <w:rFonts w:hint="eastAsia" w:eastAsia="仿宋_GB2312" w:cs="Times New Roman"/>
          <w:sz w:val="32"/>
          <w:highlight w:val="none"/>
          <w:lang w:val="en-US" w:eastAsia="zh-CN"/>
        </w:rPr>
        <w:t>14.7457公顷（耕地2.8007公顷、园地8.9209公顷、林地2.3471公顷、其他农用地0.677公顷）、</w:t>
      </w:r>
      <w:r>
        <w:rPr>
          <w:rFonts w:hint="default" w:ascii="Times New Roman" w:hAnsi="Times New Roman" w:eastAsia="仿宋_GB2312" w:cs="Times New Roman"/>
          <w:sz w:val="32"/>
          <w:highlight w:val="none"/>
        </w:rPr>
        <w:t>建设用地</w:t>
      </w:r>
      <w:r>
        <w:rPr>
          <w:rFonts w:hint="eastAsia" w:eastAsia="仿宋_GB2312" w:cs="Times New Roman"/>
          <w:sz w:val="32"/>
          <w:highlight w:val="none"/>
          <w:lang w:val="en-US" w:eastAsia="zh-CN"/>
        </w:rPr>
        <w:t>0.8524公顷、未利用地1.1084公顷。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highlight w:val="none"/>
        </w:rPr>
        <w:t>征收广州市花都区</w:t>
      </w:r>
      <w:r>
        <w:rPr>
          <w:rFonts w:hint="eastAsia" w:eastAsia="仿宋_GB2312" w:cs="Times New Roman"/>
          <w:sz w:val="32"/>
          <w:szCs w:val="32"/>
          <w:highlight w:val="none"/>
          <w:lang w:val="en-US" w:eastAsia="zh-CN"/>
        </w:rPr>
        <w:t>花东镇九一村</w:t>
      </w:r>
      <w:r>
        <w:rPr>
          <w:rFonts w:hint="default" w:ascii="Times New Roman" w:hAnsi="Times New Roman" w:eastAsia="仿宋_GB2312" w:cs="Times New Roman"/>
          <w:sz w:val="32"/>
          <w:szCs w:val="32"/>
          <w:highlight w:val="none"/>
        </w:rPr>
        <w:t>集体土地面积</w:t>
      </w:r>
      <w:r>
        <w:rPr>
          <w:rFonts w:hint="eastAsia" w:eastAsia="仿宋_GB2312" w:cs="Times New Roman"/>
          <w:sz w:val="32"/>
          <w:szCs w:val="32"/>
          <w:highlight w:val="none"/>
          <w:lang w:val="en-US" w:eastAsia="zh-CN"/>
        </w:rPr>
        <w:t>1.6851</w:t>
      </w:r>
      <w:r>
        <w:rPr>
          <w:rFonts w:hint="default" w:ascii="Times New Roman" w:hAnsi="Times New Roman" w:eastAsia="仿宋_GB2312" w:cs="Times New Roman"/>
          <w:sz w:val="32"/>
          <w:highlight w:val="none"/>
        </w:rPr>
        <w:t>公顷，</w:t>
      </w:r>
      <w:r>
        <w:rPr>
          <w:rFonts w:hint="eastAsia" w:eastAsia="仿宋_GB2312" w:cs="Times New Roman"/>
          <w:sz w:val="32"/>
          <w:highlight w:val="none"/>
          <w:lang w:eastAsia="zh-CN"/>
        </w:rPr>
        <w:t>其中农用地</w:t>
      </w:r>
      <w:r>
        <w:rPr>
          <w:rFonts w:hint="eastAsia" w:eastAsia="仿宋_GB2312" w:cs="Times New Roman"/>
          <w:sz w:val="32"/>
          <w:highlight w:val="none"/>
          <w:lang w:val="en-US" w:eastAsia="zh-CN"/>
        </w:rPr>
        <w:t>1.6851公顷（耕地1.0654公顷、园地0.01公顷、其他农用地0.6097公顷）。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rPr>
      </w:pPr>
      <w:r>
        <w:rPr>
          <w:rFonts w:hint="default" w:ascii="Times New Roman" w:hAnsi="Times New Roman" w:eastAsia="黑体" w:cs="Times New Roman"/>
          <w:sz w:val="32"/>
        </w:rPr>
        <w:t>二、征地补偿标准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（一）土地补偿费与安置补助费</w:t>
      </w:r>
    </w:p>
    <w:p>
      <w:pPr>
        <w:spacing w:line="620" w:lineRule="exact"/>
        <w:jc w:val="center"/>
        <w:rPr>
          <w:rFonts w:hint="default" w:ascii="Times New Roman" w:hAnsi="Times New Roman" w:eastAsia="方正小标宋简体" w:cs="Times New Roman"/>
          <w:sz w:val="32"/>
          <w:szCs w:val="32"/>
          <w:highlight w:val="none"/>
        </w:rPr>
      </w:pPr>
      <w:r>
        <w:rPr>
          <w:rFonts w:hint="default" w:ascii="Times New Roman" w:hAnsi="Times New Roman" w:eastAsia="方正小标宋简体" w:cs="Times New Roman"/>
          <w:sz w:val="32"/>
          <w:szCs w:val="32"/>
          <w:highlight w:val="none"/>
        </w:rPr>
        <w:t>土地补偿费与安置补助费一览表（一）</w:t>
      </w:r>
    </w:p>
    <w:p>
      <w:pPr>
        <w:spacing w:line="620" w:lineRule="exact"/>
        <w:jc w:val="righ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24"/>
          <w:highlight w:val="none"/>
        </w:rPr>
        <w:t>（单位：公顷、万元/公顷、万元）</w:t>
      </w:r>
    </w:p>
    <w:tbl>
      <w:tblPr>
        <w:tblStyle w:val="7"/>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494"/>
        <w:gridCol w:w="946"/>
        <w:gridCol w:w="1017"/>
        <w:gridCol w:w="992"/>
        <w:gridCol w:w="1163"/>
        <w:gridCol w:w="994"/>
        <w:gridCol w:w="1215"/>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7" w:type="dxa"/>
            <w:vMerge w:val="restart"/>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单位</w:t>
            </w:r>
          </w:p>
        </w:tc>
        <w:tc>
          <w:tcPr>
            <w:tcW w:w="1440" w:type="dxa"/>
            <w:gridSpan w:val="2"/>
            <w:vMerge w:val="restart"/>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土地类别</w:t>
            </w:r>
          </w:p>
        </w:tc>
        <w:tc>
          <w:tcPr>
            <w:tcW w:w="1017" w:type="dxa"/>
            <w:vMerge w:val="restart"/>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面积</w:t>
            </w:r>
          </w:p>
        </w:tc>
        <w:tc>
          <w:tcPr>
            <w:tcW w:w="2155" w:type="dxa"/>
            <w:gridSpan w:val="2"/>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土地补偿费</w:t>
            </w:r>
          </w:p>
        </w:tc>
        <w:tc>
          <w:tcPr>
            <w:tcW w:w="2209" w:type="dxa"/>
            <w:gridSpan w:val="2"/>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安置补助费</w:t>
            </w:r>
          </w:p>
        </w:tc>
        <w:tc>
          <w:tcPr>
            <w:tcW w:w="1297" w:type="dxa"/>
            <w:tcBorders>
              <w:bottom w:val="single" w:color="auto" w:sz="4" w:space="0"/>
            </w:tcBorders>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7" w:type="dxa"/>
            <w:vMerge w:val="continue"/>
            <w:vAlign w:val="center"/>
          </w:tcPr>
          <w:p>
            <w:pPr>
              <w:jc w:val="center"/>
              <w:rPr>
                <w:rFonts w:hint="default" w:ascii="Times New Roman" w:hAnsi="Times New Roman" w:eastAsia="仿宋_GB2312" w:cs="Times New Roman"/>
                <w:b/>
                <w:bCs/>
                <w:sz w:val="24"/>
                <w:highlight w:val="none"/>
              </w:rPr>
            </w:pPr>
          </w:p>
        </w:tc>
        <w:tc>
          <w:tcPr>
            <w:tcW w:w="1440" w:type="dxa"/>
            <w:gridSpan w:val="2"/>
            <w:vMerge w:val="continue"/>
            <w:vAlign w:val="center"/>
          </w:tcPr>
          <w:p>
            <w:pPr>
              <w:jc w:val="center"/>
              <w:rPr>
                <w:rFonts w:hint="default" w:ascii="Times New Roman" w:hAnsi="Times New Roman" w:eastAsia="仿宋_GB2312" w:cs="Times New Roman"/>
                <w:b/>
                <w:bCs/>
                <w:sz w:val="24"/>
                <w:highlight w:val="none"/>
              </w:rPr>
            </w:pPr>
          </w:p>
        </w:tc>
        <w:tc>
          <w:tcPr>
            <w:tcW w:w="1017" w:type="dxa"/>
            <w:vMerge w:val="continue"/>
            <w:vAlign w:val="center"/>
          </w:tcPr>
          <w:p>
            <w:pPr>
              <w:jc w:val="center"/>
              <w:rPr>
                <w:rFonts w:hint="default" w:ascii="Times New Roman" w:hAnsi="Times New Roman" w:eastAsia="仿宋_GB2312" w:cs="Times New Roman"/>
                <w:b/>
                <w:bCs/>
                <w:sz w:val="24"/>
                <w:highlight w:val="none"/>
              </w:rPr>
            </w:pPr>
          </w:p>
        </w:tc>
        <w:tc>
          <w:tcPr>
            <w:tcW w:w="992" w:type="dxa"/>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补偿</w:t>
            </w:r>
          </w:p>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标准</w:t>
            </w:r>
          </w:p>
        </w:tc>
        <w:tc>
          <w:tcPr>
            <w:tcW w:w="1163" w:type="dxa"/>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补偿</w:t>
            </w:r>
          </w:p>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金额</w:t>
            </w:r>
          </w:p>
        </w:tc>
        <w:tc>
          <w:tcPr>
            <w:tcW w:w="994" w:type="dxa"/>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补助</w:t>
            </w:r>
          </w:p>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标准</w:t>
            </w:r>
          </w:p>
        </w:tc>
        <w:tc>
          <w:tcPr>
            <w:tcW w:w="1215" w:type="dxa"/>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补助</w:t>
            </w:r>
          </w:p>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金额</w:t>
            </w:r>
          </w:p>
        </w:tc>
        <w:tc>
          <w:tcPr>
            <w:tcW w:w="1297" w:type="dxa"/>
            <w:tcBorders>
              <w:tl2br w:val="single" w:color="auto" w:sz="4" w:space="0"/>
              <w:tr2bl w:val="nil"/>
            </w:tcBorders>
            <w:vAlign w:val="center"/>
          </w:tcPr>
          <w:p>
            <w:pPr>
              <w:jc w:val="center"/>
              <w:rPr>
                <w:rFonts w:hint="default" w:ascii="Times New Roman" w:hAnsi="Times New Roman" w:eastAsia="仿宋_GB2312" w:cs="Times New Roman"/>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337" w:type="dxa"/>
            <w:vMerge w:val="restart"/>
            <w:vAlign w:val="center"/>
          </w:tcPr>
          <w:p>
            <w:pPr>
              <w:widowControl/>
              <w:jc w:val="distribute"/>
              <w:textAlignment w:val="center"/>
              <w:rPr>
                <w:rFonts w:hint="eastAsia" w:ascii="Times New Roman" w:hAnsi="Times New Roman" w:eastAsia="仿宋_GB2312" w:cs="Times New Roman"/>
                <w:sz w:val="24"/>
                <w:highlight w:val="none"/>
                <w:lang w:val="en-US" w:eastAsia="zh-CN"/>
              </w:rPr>
            </w:pPr>
            <w:r>
              <w:rPr>
                <w:rFonts w:hint="default" w:ascii="Times New Roman" w:hAnsi="Times New Roman" w:eastAsia="仿宋_GB2312" w:cs="Times New Roman"/>
                <w:sz w:val="24"/>
                <w:highlight w:val="none"/>
              </w:rPr>
              <w:t>广州市</w:t>
            </w:r>
            <w:r>
              <w:rPr>
                <w:rFonts w:hint="eastAsia" w:ascii="Times New Roman" w:hAnsi="Times New Roman" w:eastAsia="仿宋_GB2312" w:cs="Times New Roman"/>
                <w:sz w:val="24"/>
                <w:highlight w:val="none"/>
                <w:lang w:val="en-US" w:eastAsia="zh-CN"/>
              </w:rPr>
              <w:t>花东镇山下经济联合社，山下村第二经济合作社、第十经济合作社（共有），山下村第十一经济合作社，山下村第十二经济合作社，山下第十三经济合作社，山下第十五经济合作社</w:t>
            </w:r>
          </w:p>
          <w:p>
            <w:pPr>
              <w:widowControl/>
              <w:jc w:val="distribute"/>
              <w:textAlignment w:val="center"/>
              <w:rPr>
                <w:rFonts w:hint="default" w:ascii="Times New Roman" w:hAnsi="Times New Roman" w:eastAsia="仿宋_GB2312" w:cs="Times New Roman"/>
                <w:sz w:val="24"/>
                <w:highlight w:val="none"/>
                <w:lang w:val="en-US" w:eastAsia="zh-CN"/>
              </w:rPr>
            </w:pPr>
            <w:r>
              <w:rPr>
                <w:rFonts w:hint="eastAsia" w:eastAsia="仿宋_GB2312" w:cs="Times New Roman"/>
                <w:sz w:val="24"/>
                <w:highlight w:val="none"/>
                <w:lang w:val="en-US" w:eastAsia="zh-CN"/>
              </w:rPr>
              <w:t>（机场控制区内）</w:t>
            </w:r>
          </w:p>
        </w:tc>
        <w:tc>
          <w:tcPr>
            <w:tcW w:w="494" w:type="dxa"/>
            <w:vMerge w:val="restart"/>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耕地</w:t>
            </w:r>
          </w:p>
        </w:tc>
        <w:tc>
          <w:tcPr>
            <w:tcW w:w="946" w:type="dxa"/>
            <w:vAlign w:val="center"/>
          </w:tcPr>
          <w:p>
            <w:pPr>
              <w:jc w:val="center"/>
              <w:rPr>
                <w:rFonts w:hint="eastAsia" w:ascii="Times New Roman" w:hAnsi="Times New Roman" w:eastAsia="仿宋_GB2312" w:cs="Times New Roman"/>
                <w:kern w:val="2"/>
                <w:sz w:val="24"/>
                <w:szCs w:val="24"/>
                <w:highlight w:val="none"/>
                <w:lang w:val="en-US" w:eastAsia="zh-CN" w:bidi="ar-SA"/>
              </w:rPr>
            </w:pPr>
            <w:r>
              <w:rPr>
                <w:rFonts w:hint="eastAsia" w:eastAsia="仿宋_GB2312" w:cs="Times New Roman"/>
                <w:sz w:val="24"/>
                <w:highlight w:val="none"/>
                <w:lang w:eastAsia="zh-CN"/>
              </w:rPr>
              <w:t>水田</w:t>
            </w:r>
          </w:p>
        </w:tc>
        <w:tc>
          <w:tcPr>
            <w:tcW w:w="1017" w:type="dxa"/>
            <w:vAlign w:val="center"/>
          </w:tcPr>
          <w:p>
            <w:pPr>
              <w:jc w:val="center"/>
              <w:rPr>
                <w:rFonts w:hint="default" w:ascii="Times New Roman" w:hAnsi="Times New Roman" w:cs="Times New Roman" w:eastAsiaTheme="minorEastAsia"/>
                <w:kern w:val="2"/>
                <w:sz w:val="21"/>
                <w:szCs w:val="21"/>
                <w:highlight w:val="none"/>
                <w:lang w:val="en-US" w:eastAsia="zh-CN" w:bidi="ar-SA"/>
              </w:rPr>
            </w:pPr>
            <w:r>
              <w:rPr>
                <w:rFonts w:hint="eastAsia" w:cs="Times New Roman" w:eastAsiaTheme="minorEastAsia"/>
                <w:szCs w:val="21"/>
                <w:highlight w:val="none"/>
                <w:lang w:val="en-US" w:eastAsia="zh-CN"/>
              </w:rPr>
              <w:t>0</w:t>
            </w:r>
          </w:p>
        </w:tc>
        <w:tc>
          <w:tcPr>
            <w:tcW w:w="992" w:type="dxa"/>
            <w:vAlign w:val="center"/>
          </w:tcPr>
          <w:p>
            <w:pPr>
              <w:jc w:val="center"/>
              <w:rPr>
                <w:rFonts w:hint="default" w:ascii="Times New Roman" w:hAnsi="Times New Roman" w:cs="Times New Roman" w:eastAsiaTheme="minorEastAsia"/>
                <w:kern w:val="2"/>
                <w:sz w:val="21"/>
                <w:szCs w:val="21"/>
                <w:highlight w:val="none"/>
                <w:lang w:val="en-US" w:eastAsia="zh-CN" w:bidi="ar-SA"/>
              </w:rPr>
            </w:pPr>
            <w:r>
              <w:rPr>
                <w:rFonts w:hint="eastAsia" w:cs="Times New Roman" w:eastAsiaTheme="minorEastAsia"/>
                <w:szCs w:val="21"/>
                <w:highlight w:val="none"/>
                <w:lang w:val="en-US" w:eastAsia="zh-CN"/>
              </w:rPr>
              <w:t>120</w:t>
            </w:r>
          </w:p>
        </w:tc>
        <w:tc>
          <w:tcPr>
            <w:tcW w:w="1163" w:type="dxa"/>
            <w:vAlign w:val="center"/>
          </w:tcPr>
          <w:p>
            <w:pPr>
              <w:jc w:val="center"/>
              <w:rPr>
                <w:rFonts w:hint="default" w:ascii="Times New Roman" w:hAnsi="Times New Roman" w:cs="Times New Roman" w:eastAsiaTheme="minorEastAsia"/>
                <w:kern w:val="2"/>
                <w:sz w:val="21"/>
                <w:szCs w:val="21"/>
                <w:highlight w:val="none"/>
                <w:lang w:val="en-US" w:eastAsia="zh-CN" w:bidi="ar-SA"/>
              </w:rPr>
            </w:pPr>
            <w:r>
              <w:rPr>
                <w:rFonts w:hint="eastAsia" w:cs="Times New Roman" w:eastAsiaTheme="minorEastAsia"/>
                <w:szCs w:val="21"/>
                <w:highlight w:val="none"/>
                <w:lang w:val="en-US" w:eastAsia="zh-CN"/>
              </w:rPr>
              <w:t>0</w:t>
            </w:r>
          </w:p>
        </w:tc>
        <w:tc>
          <w:tcPr>
            <w:tcW w:w="994" w:type="dxa"/>
            <w:vAlign w:val="center"/>
          </w:tcPr>
          <w:p>
            <w:pPr>
              <w:jc w:val="center"/>
              <w:rPr>
                <w:rFonts w:hint="default" w:ascii="Times New Roman" w:hAnsi="Times New Roman" w:cs="Times New Roman" w:eastAsiaTheme="minorEastAsia"/>
                <w:kern w:val="2"/>
                <w:sz w:val="21"/>
                <w:szCs w:val="21"/>
                <w:highlight w:val="none"/>
                <w:lang w:val="en-US" w:eastAsia="zh-CN" w:bidi="ar-SA"/>
              </w:rPr>
            </w:pPr>
            <w:r>
              <w:rPr>
                <w:rFonts w:hint="eastAsia" w:cs="Times New Roman" w:eastAsiaTheme="minorEastAsia"/>
                <w:szCs w:val="21"/>
                <w:highlight w:val="none"/>
                <w:lang w:val="en-US" w:eastAsia="zh-CN"/>
              </w:rPr>
              <w:t>120</w:t>
            </w:r>
          </w:p>
        </w:tc>
        <w:tc>
          <w:tcPr>
            <w:tcW w:w="1215" w:type="dxa"/>
            <w:vAlign w:val="center"/>
          </w:tcPr>
          <w:p>
            <w:pPr>
              <w:jc w:val="center"/>
              <w:rPr>
                <w:rFonts w:hint="default" w:ascii="Times New Roman" w:hAnsi="Times New Roman" w:cs="Times New Roman" w:eastAsiaTheme="minorEastAsia"/>
                <w:kern w:val="2"/>
                <w:sz w:val="21"/>
                <w:szCs w:val="21"/>
                <w:highlight w:val="none"/>
                <w:lang w:val="en-US" w:eastAsia="zh-CN" w:bidi="ar-SA"/>
              </w:rPr>
            </w:pPr>
            <w:r>
              <w:rPr>
                <w:rFonts w:hint="eastAsia" w:cs="Times New Roman" w:eastAsiaTheme="minorEastAsia"/>
                <w:szCs w:val="21"/>
                <w:highlight w:val="none"/>
                <w:lang w:val="en-US" w:eastAsia="zh-CN"/>
              </w:rPr>
              <w:t>0</w:t>
            </w:r>
          </w:p>
        </w:tc>
        <w:tc>
          <w:tcPr>
            <w:tcW w:w="1297" w:type="dxa"/>
            <w:vAlign w:val="center"/>
          </w:tcPr>
          <w:p>
            <w:pPr>
              <w:jc w:val="center"/>
              <w:rPr>
                <w:rFonts w:hint="default" w:ascii="Times New Roman" w:hAnsi="Times New Roman" w:cs="Times New Roman" w:eastAsiaTheme="minorEastAsia"/>
                <w:kern w:val="2"/>
                <w:sz w:val="21"/>
                <w:szCs w:val="21"/>
                <w:highlight w:val="none"/>
                <w:lang w:val="en-US" w:eastAsia="zh-CN" w:bidi="ar-SA"/>
              </w:rPr>
            </w:pPr>
            <w:r>
              <w:rPr>
                <w:rFonts w:hint="eastAsia" w:cs="Times New Roman" w:eastAsiaTheme="minorEastAsia"/>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337" w:type="dxa"/>
            <w:vMerge w:val="continue"/>
            <w:vAlign w:val="center"/>
          </w:tcPr>
          <w:p>
            <w:pPr>
              <w:jc w:val="center"/>
              <w:rPr>
                <w:rFonts w:hint="default" w:ascii="Times New Roman" w:hAnsi="Times New Roman" w:eastAsia="仿宋_GB2312" w:cs="Times New Roman"/>
                <w:sz w:val="24"/>
                <w:highlight w:val="none"/>
              </w:rPr>
            </w:pPr>
          </w:p>
        </w:tc>
        <w:tc>
          <w:tcPr>
            <w:tcW w:w="494" w:type="dxa"/>
            <w:vMerge w:val="continue"/>
            <w:vAlign w:val="center"/>
          </w:tcPr>
          <w:p>
            <w:pPr>
              <w:jc w:val="center"/>
              <w:rPr>
                <w:rFonts w:hint="default" w:ascii="Times New Roman" w:hAnsi="Times New Roman" w:eastAsia="仿宋_GB2312" w:cs="Times New Roman"/>
                <w:sz w:val="24"/>
                <w:highlight w:val="none"/>
              </w:rPr>
            </w:pPr>
          </w:p>
        </w:tc>
        <w:tc>
          <w:tcPr>
            <w:tcW w:w="946" w:type="dxa"/>
            <w:vAlign w:val="center"/>
          </w:tcPr>
          <w:p>
            <w:pPr>
              <w:jc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rPr>
              <w:t>水浇地</w:t>
            </w:r>
          </w:p>
        </w:tc>
        <w:tc>
          <w:tcPr>
            <w:tcW w:w="1017" w:type="dxa"/>
            <w:vAlign w:val="center"/>
          </w:tcPr>
          <w:p>
            <w:pPr>
              <w:jc w:val="center"/>
              <w:rPr>
                <w:rFonts w:hint="default" w:ascii="Times New Roman" w:hAnsi="Times New Roman" w:cs="Times New Roman" w:eastAsiaTheme="minorEastAsia"/>
                <w:kern w:val="2"/>
                <w:sz w:val="21"/>
                <w:szCs w:val="21"/>
                <w:highlight w:val="none"/>
                <w:lang w:val="en-US" w:eastAsia="zh-CN" w:bidi="ar-SA"/>
              </w:rPr>
            </w:pPr>
            <w:r>
              <w:rPr>
                <w:rFonts w:hint="eastAsia" w:cs="Times New Roman" w:eastAsiaTheme="minorEastAsia"/>
                <w:szCs w:val="21"/>
                <w:highlight w:val="none"/>
                <w:lang w:val="en-US" w:eastAsia="zh-CN"/>
              </w:rPr>
              <w:t>5.8648</w:t>
            </w:r>
          </w:p>
        </w:tc>
        <w:tc>
          <w:tcPr>
            <w:tcW w:w="992" w:type="dxa"/>
            <w:vAlign w:val="center"/>
          </w:tcPr>
          <w:p>
            <w:pPr>
              <w:jc w:val="center"/>
              <w:rPr>
                <w:rFonts w:hint="default" w:ascii="Times New Roman" w:hAnsi="Times New Roman" w:cs="Times New Roman" w:eastAsiaTheme="minorEastAsia"/>
                <w:kern w:val="2"/>
                <w:sz w:val="21"/>
                <w:szCs w:val="21"/>
                <w:highlight w:val="none"/>
                <w:lang w:val="en-US" w:eastAsia="zh-CN" w:bidi="ar-SA"/>
              </w:rPr>
            </w:pPr>
            <w:r>
              <w:rPr>
                <w:rFonts w:hint="eastAsia" w:cs="Times New Roman" w:eastAsiaTheme="minorEastAsia"/>
                <w:szCs w:val="21"/>
                <w:highlight w:val="none"/>
                <w:lang w:val="en-US" w:eastAsia="zh-CN"/>
              </w:rPr>
              <w:t>120</w:t>
            </w:r>
          </w:p>
        </w:tc>
        <w:tc>
          <w:tcPr>
            <w:tcW w:w="1163" w:type="dxa"/>
            <w:vAlign w:val="center"/>
          </w:tcPr>
          <w:p>
            <w:pPr>
              <w:jc w:val="center"/>
              <w:rPr>
                <w:rFonts w:hint="default" w:ascii="Times New Roman" w:hAnsi="Times New Roman" w:cs="Times New Roman" w:eastAsiaTheme="minorEastAsia"/>
                <w:kern w:val="2"/>
                <w:sz w:val="21"/>
                <w:szCs w:val="21"/>
                <w:highlight w:val="none"/>
                <w:lang w:val="en-US" w:eastAsia="zh-CN" w:bidi="ar-SA"/>
              </w:rPr>
            </w:pPr>
            <w:r>
              <w:rPr>
                <w:rFonts w:hint="eastAsia" w:cs="Times New Roman" w:eastAsiaTheme="minorEastAsia"/>
                <w:szCs w:val="21"/>
                <w:highlight w:val="none"/>
                <w:lang w:val="en-US" w:eastAsia="zh-CN"/>
              </w:rPr>
              <w:t>703.776</w:t>
            </w:r>
          </w:p>
        </w:tc>
        <w:tc>
          <w:tcPr>
            <w:tcW w:w="994" w:type="dxa"/>
            <w:vAlign w:val="center"/>
          </w:tcPr>
          <w:p>
            <w:pPr>
              <w:jc w:val="center"/>
              <w:rPr>
                <w:rFonts w:hint="default" w:ascii="Times New Roman" w:hAnsi="Times New Roman" w:cs="Times New Roman" w:eastAsiaTheme="minorEastAsia"/>
                <w:kern w:val="2"/>
                <w:sz w:val="21"/>
                <w:szCs w:val="21"/>
                <w:highlight w:val="none"/>
                <w:lang w:val="en-US" w:eastAsia="zh-CN" w:bidi="ar-SA"/>
              </w:rPr>
            </w:pPr>
            <w:r>
              <w:rPr>
                <w:rFonts w:hint="eastAsia" w:cs="Times New Roman" w:eastAsiaTheme="minorEastAsia"/>
                <w:szCs w:val="21"/>
                <w:highlight w:val="none"/>
                <w:lang w:val="en-US" w:eastAsia="zh-CN"/>
              </w:rPr>
              <w:t>120</w:t>
            </w:r>
          </w:p>
        </w:tc>
        <w:tc>
          <w:tcPr>
            <w:tcW w:w="1215" w:type="dxa"/>
            <w:vAlign w:val="center"/>
          </w:tcPr>
          <w:p>
            <w:pPr>
              <w:jc w:val="center"/>
              <w:rPr>
                <w:rFonts w:hint="default" w:ascii="Times New Roman" w:hAnsi="Times New Roman" w:cs="Times New Roman" w:eastAsiaTheme="minorEastAsia"/>
                <w:kern w:val="2"/>
                <w:sz w:val="21"/>
                <w:szCs w:val="21"/>
                <w:highlight w:val="none"/>
                <w:lang w:val="en-US" w:eastAsia="zh-CN" w:bidi="ar-SA"/>
              </w:rPr>
            </w:pPr>
            <w:r>
              <w:rPr>
                <w:rFonts w:hint="eastAsia" w:cs="Times New Roman" w:eastAsiaTheme="minorEastAsia"/>
                <w:szCs w:val="21"/>
                <w:highlight w:val="none"/>
                <w:lang w:val="en-US" w:eastAsia="zh-CN"/>
              </w:rPr>
              <w:t>703.776</w:t>
            </w:r>
          </w:p>
        </w:tc>
        <w:tc>
          <w:tcPr>
            <w:tcW w:w="1297" w:type="dxa"/>
            <w:vAlign w:val="center"/>
          </w:tcPr>
          <w:p>
            <w:pPr>
              <w:jc w:val="center"/>
              <w:rPr>
                <w:rFonts w:hint="default" w:ascii="Times New Roman" w:hAnsi="Times New Roman" w:cs="Times New Roman" w:eastAsiaTheme="minorEastAsia"/>
                <w:kern w:val="2"/>
                <w:sz w:val="21"/>
                <w:szCs w:val="21"/>
                <w:highlight w:val="none"/>
                <w:lang w:val="en-US" w:eastAsia="zh-CN" w:bidi="ar-SA"/>
              </w:rPr>
            </w:pPr>
            <w:r>
              <w:rPr>
                <w:rFonts w:hint="eastAsia" w:cs="Times New Roman" w:eastAsiaTheme="minorEastAsia"/>
                <w:szCs w:val="21"/>
                <w:highlight w:val="none"/>
                <w:lang w:val="en-US" w:eastAsia="zh-CN"/>
              </w:rPr>
              <w:t>1407.552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337" w:type="dxa"/>
            <w:vMerge w:val="continue"/>
            <w:vAlign w:val="center"/>
          </w:tcPr>
          <w:p>
            <w:pPr>
              <w:jc w:val="center"/>
              <w:rPr>
                <w:rFonts w:hint="default" w:ascii="Times New Roman" w:hAnsi="Times New Roman" w:eastAsia="仿宋_GB2312" w:cs="Times New Roman"/>
                <w:sz w:val="24"/>
                <w:highlight w:val="none"/>
              </w:rPr>
            </w:pPr>
          </w:p>
        </w:tc>
        <w:tc>
          <w:tcPr>
            <w:tcW w:w="494" w:type="dxa"/>
            <w:vMerge w:val="continue"/>
            <w:vAlign w:val="center"/>
          </w:tcPr>
          <w:p>
            <w:pPr>
              <w:jc w:val="center"/>
              <w:rPr>
                <w:rFonts w:hint="default" w:ascii="Times New Roman" w:hAnsi="Times New Roman" w:eastAsia="仿宋_GB2312" w:cs="Times New Roman"/>
                <w:sz w:val="24"/>
                <w:highlight w:val="none"/>
              </w:rPr>
            </w:pPr>
          </w:p>
        </w:tc>
        <w:tc>
          <w:tcPr>
            <w:tcW w:w="946" w:type="dxa"/>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旱地</w:t>
            </w:r>
          </w:p>
        </w:tc>
        <w:tc>
          <w:tcPr>
            <w:tcW w:w="1017"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0.8665</w:t>
            </w:r>
          </w:p>
        </w:tc>
        <w:tc>
          <w:tcPr>
            <w:tcW w:w="992" w:type="dxa"/>
            <w:vAlign w:val="center"/>
          </w:tcPr>
          <w:p>
            <w:pPr>
              <w:jc w:val="center"/>
              <w:rPr>
                <w:rFonts w:hint="default" w:ascii="Times New Roman" w:hAnsi="Times New Roman" w:cs="Times New Roman" w:eastAsiaTheme="minorEastAsia"/>
                <w:szCs w:val="21"/>
                <w:highlight w:val="none"/>
                <w:lang w:val="en-US" w:eastAsia="zh-CN"/>
              </w:rPr>
            </w:pPr>
            <w:r>
              <w:rPr>
                <w:rFonts w:hint="eastAsia" w:cs="Times New Roman" w:eastAsiaTheme="minorEastAsia"/>
                <w:szCs w:val="21"/>
                <w:highlight w:val="none"/>
                <w:lang w:val="en-US" w:eastAsia="zh-CN"/>
              </w:rPr>
              <w:t>120</w:t>
            </w:r>
          </w:p>
        </w:tc>
        <w:tc>
          <w:tcPr>
            <w:tcW w:w="116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103.98</w:t>
            </w:r>
          </w:p>
        </w:tc>
        <w:tc>
          <w:tcPr>
            <w:tcW w:w="99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120</w:t>
            </w:r>
          </w:p>
        </w:tc>
        <w:tc>
          <w:tcPr>
            <w:tcW w:w="1215"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103.98</w:t>
            </w:r>
          </w:p>
        </w:tc>
        <w:tc>
          <w:tcPr>
            <w:tcW w:w="1297"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207.96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337" w:type="dxa"/>
            <w:vMerge w:val="continue"/>
            <w:vAlign w:val="center"/>
          </w:tcPr>
          <w:p>
            <w:pPr>
              <w:jc w:val="center"/>
              <w:rPr>
                <w:rFonts w:hint="default" w:ascii="Times New Roman" w:hAnsi="Times New Roman" w:eastAsia="仿宋_GB2312" w:cs="Times New Roman"/>
                <w:sz w:val="24"/>
                <w:highlight w:val="none"/>
              </w:rPr>
            </w:pPr>
          </w:p>
        </w:tc>
        <w:tc>
          <w:tcPr>
            <w:tcW w:w="1440" w:type="dxa"/>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园地</w:t>
            </w:r>
          </w:p>
        </w:tc>
        <w:tc>
          <w:tcPr>
            <w:tcW w:w="1017"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11.7422</w:t>
            </w:r>
          </w:p>
        </w:tc>
        <w:tc>
          <w:tcPr>
            <w:tcW w:w="992" w:type="dxa"/>
            <w:vAlign w:val="center"/>
          </w:tcPr>
          <w:p>
            <w:pPr>
              <w:jc w:val="center"/>
              <w:rPr>
                <w:rFonts w:hint="default" w:ascii="Times New Roman" w:hAnsi="Times New Roman" w:cs="Times New Roman" w:eastAsiaTheme="minorEastAsia"/>
                <w:szCs w:val="21"/>
                <w:highlight w:val="none"/>
                <w:lang w:val="en-US" w:eastAsia="zh-CN"/>
              </w:rPr>
            </w:pPr>
            <w:r>
              <w:rPr>
                <w:rFonts w:hint="eastAsia" w:cs="Times New Roman" w:eastAsiaTheme="minorEastAsia"/>
                <w:szCs w:val="21"/>
                <w:highlight w:val="none"/>
                <w:lang w:val="en-US" w:eastAsia="zh-CN"/>
              </w:rPr>
              <w:t>120</w:t>
            </w:r>
          </w:p>
        </w:tc>
        <w:tc>
          <w:tcPr>
            <w:tcW w:w="116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1409.064</w:t>
            </w:r>
          </w:p>
        </w:tc>
        <w:tc>
          <w:tcPr>
            <w:tcW w:w="99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120</w:t>
            </w:r>
          </w:p>
        </w:tc>
        <w:tc>
          <w:tcPr>
            <w:tcW w:w="1215"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1409.064</w:t>
            </w:r>
          </w:p>
        </w:tc>
        <w:tc>
          <w:tcPr>
            <w:tcW w:w="1297"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2818.128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337" w:type="dxa"/>
            <w:vMerge w:val="continue"/>
            <w:vAlign w:val="center"/>
          </w:tcPr>
          <w:p>
            <w:pPr>
              <w:jc w:val="center"/>
              <w:rPr>
                <w:rFonts w:hint="default" w:ascii="Times New Roman" w:hAnsi="Times New Roman" w:eastAsia="仿宋_GB2312" w:cs="Times New Roman"/>
                <w:sz w:val="24"/>
                <w:highlight w:val="none"/>
              </w:rPr>
            </w:pPr>
          </w:p>
        </w:tc>
        <w:tc>
          <w:tcPr>
            <w:tcW w:w="1440" w:type="dxa"/>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林地</w:t>
            </w:r>
          </w:p>
        </w:tc>
        <w:tc>
          <w:tcPr>
            <w:tcW w:w="1017"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0.6759</w:t>
            </w:r>
          </w:p>
        </w:tc>
        <w:tc>
          <w:tcPr>
            <w:tcW w:w="992" w:type="dxa"/>
            <w:vAlign w:val="center"/>
          </w:tcPr>
          <w:p>
            <w:pPr>
              <w:jc w:val="center"/>
              <w:rPr>
                <w:rFonts w:hint="default" w:ascii="Times New Roman" w:hAnsi="Times New Roman" w:cs="Times New Roman" w:eastAsiaTheme="minorEastAsia"/>
                <w:szCs w:val="21"/>
                <w:highlight w:val="none"/>
                <w:lang w:val="en-US" w:eastAsia="zh-CN"/>
              </w:rPr>
            </w:pPr>
            <w:r>
              <w:rPr>
                <w:rFonts w:hint="eastAsia" w:cs="Times New Roman" w:eastAsiaTheme="minorEastAsia"/>
                <w:szCs w:val="21"/>
                <w:highlight w:val="none"/>
                <w:lang w:val="en-US" w:eastAsia="zh-CN"/>
              </w:rPr>
              <w:t>120</w:t>
            </w:r>
          </w:p>
        </w:tc>
        <w:tc>
          <w:tcPr>
            <w:tcW w:w="116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81.108</w:t>
            </w:r>
          </w:p>
        </w:tc>
        <w:tc>
          <w:tcPr>
            <w:tcW w:w="99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120</w:t>
            </w:r>
          </w:p>
        </w:tc>
        <w:tc>
          <w:tcPr>
            <w:tcW w:w="1215"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81.108</w:t>
            </w:r>
          </w:p>
        </w:tc>
        <w:tc>
          <w:tcPr>
            <w:tcW w:w="1297"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162.216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337" w:type="dxa"/>
            <w:vMerge w:val="continue"/>
            <w:vAlign w:val="center"/>
          </w:tcPr>
          <w:p>
            <w:pPr>
              <w:jc w:val="center"/>
              <w:rPr>
                <w:rFonts w:hint="default" w:ascii="Times New Roman" w:hAnsi="Times New Roman" w:eastAsia="仿宋_GB2312" w:cs="Times New Roman"/>
                <w:sz w:val="24"/>
                <w:highlight w:val="none"/>
              </w:rPr>
            </w:pPr>
          </w:p>
        </w:tc>
        <w:tc>
          <w:tcPr>
            <w:tcW w:w="1440" w:type="dxa"/>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其他农用地</w:t>
            </w:r>
          </w:p>
        </w:tc>
        <w:tc>
          <w:tcPr>
            <w:tcW w:w="1017"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1.0374</w:t>
            </w:r>
          </w:p>
        </w:tc>
        <w:tc>
          <w:tcPr>
            <w:tcW w:w="992" w:type="dxa"/>
            <w:vAlign w:val="center"/>
          </w:tcPr>
          <w:p>
            <w:pPr>
              <w:jc w:val="center"/>
              <w:rPr>
                <w:rFonts w:hint="default" w:ascii="Times New Roman" w:hAnsi="Times New Roman" w:cs="Times New Roman" w:eastAsiaTheme="minorEastAsia"/>
                <w:szCs w:val="21"/>
                <w:highlight w:val="none"/>
                <w:lang w:val="en-US" w:eastAsia="zh-CN"/>
              </w:rPr>
            </w:pPr>
            <w:r>
              <w:rPr>
                <w:rFonts w:hint="eastAsia" w:cs="Times New Roman" w:eastAsiaTheme="minorEastAsia"/>
                <w:szCs w:val="21"/>
                <w:highlight w:val="none"/>
                <w:lang w:val="en-US" w:eastAsia="zh-CN"/>
              </w:rPr>
              <w:t>120</w:t>
            </w:r>
          </w:p>
        </w:tc>
        <w:tc>
          <w:tcPr>
            <w:tcW w:w="116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124.488</w:t>
            </w:r>
          </w:p>
        </w:tc>
        <w:tc>
          <w:tcPr>
            <w:tcW w:w="994" w:type="dxa"/>
            <w:tcBorders>
              <w:bottom w:val="single" w:color="auto" w:sz="4" w:space="0"/>
            </w:tcBorders>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120</w:t>
            </w:r>
          </w:p>
        </w:tc>
        <w:tc>
          <w:tcPr>
            <w:tcW w:w="1215" w:type="dxa"/>
            <w:tcBorders>
              <w:bottom w:val="single" w:color="auto" w:sz="4" w:space="0"/>
            </w:tcBorders>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124.488</w:t>
            </w:r>
          </w:p>
        </w:tc>
        <w:tc>
          <w:tcPr>
            <w:tcW w:w="1297"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248.976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337" w:type="dxa"/>
            <w:vMerge w:val="continue"/>
            <w:vAlign w:val="center"/>
          </w:tcPr>
          <w:p>
            <w:pPr>
              <w:jc w:val="center"/>
              <w:rPr>
                <w:rFonts w:hint="default" w:ascii="Times New Roman" w:hAnsi="Times New Roman" w:eastAsia="仿宋_GB2312" w:cs="Times New Roman"/>
                <w:sz w:val="24"/>
                <w:highlight w:val="none"/>
              </w:rPr>
            </w:pPr>
          </w:p>
        </w:tc>
        <w:tc>
          <w:tcPr>
            <w:tcW w:w="1440" w:type="dxa"/>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建设用地</w:t>
            </w:r>
          </w:p>
        </w:tc>
        <w:tc>
          <w:tcPr>
            <w:tcW w:w="1017"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0.3181</w:t>
            </w:r>
          </w:p>
        </w:tc>
        <w:tc>
          <w:tcPr>
            <w:tcW w:w="992" w:type="dxa"/>
            <w:vAlign w:val="center"/>
          </w:tcPr>
          <w:p>
            <w:pPr>
              <w:jc w:val="center"/>
              <w:rPr>
                <w:rFonts w:hint="default" w:ascii="Times New Roman" w:hAnsi="Times New Roman" w:cs="Times New Roman" w:eastAsiaTheme="minorEastAsia"/>
                <w:szCs w:val="21"/>
                <w:highlight w:val="none"/>
                <w:lang w:val="en-US" w:eastAsia="zh-CN"/>
              </w:rPr>
            </w:pPr>
            <w:r>
              <w:rPr>
                <w:rFonts w:hint="eastAsia" w:cs="Times New Roman" w:eastAsiaTheme="minorEastAsia"/>
                <w:szCs w:val="21"/>
                <w:highlight w:val="none"/>
                <w:lang w:val="en-US" w:eastAsia="zh-CN"/>
              </w:rPr>
              <w:t>240</w:t>
            </w:r>
          </w:p>
        </w:tc>
        <w:tc>
          <w:tcPr>
            <w:tcW w:w="116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76.344</w:t>
            </w:r>
          </w:p>
        </w:tc>
        <w:tc>
          <w:tcPr>
            <w:tcW w:w="994" w:type="dxa"/>
            <w:tcBorders>
              <w:bottom w:val="single" w:color="auto" w:sz="4" w:space="0"/>
              <w:tl2br w:val="single" w:color="auto" w:sz="4" w:space="0"/>
              <w:tr2bl w:val="nil"/>
            </w:tcBorders>
            <w:vAlign w:val="center"/>
          </w:tcPr>
          <w:p>
            <w:pPr>
              <w:jc w:val="center"/>
              <w:rPr>
                <w:rFonts w:hint="default" w:cs="Times New Roman" w:eastAsiaTheme="minorEastAsia"/>
                <w:szCs w:val="21"/>
                <w:highlight w:val="none"/>
                <w:lang w:val="en-US" w:eastAsia="zh-CN"/>
              </w:rPr>
            </w:pPr>
          </w:p>
        </w:tc>
        <w:tc>
          <w:tcPr>
            <w:tcW w:w="1215" w:type="dxa"/>
            <w:tcBorders>
              <w:bottom w:val="single" w:color="auto" w:sz="4" w:space="0"/>
              <w:tl2br w:val="single" w:color="auto" w:sz="4" w:space="0"/>
              <w:tr2bl w:val="nil"/>
            </w:tcBorders>
            <w:vAlign w:val="center"/>
          </w:tcPr>
          <w:p>
            <w:pPr>
              <w:jc w:val="center"/>
              <w:rPr>
                <w:rFonts w:hint="default" w:cs="Times New Roman" w:eastAsiaTheme="minorEastAsia"/>
                <w:szCs w:val="21"/>
                <w:highlight w:val="none"/>
                <w:lang w:val="en-US" w:eastAsia="zh-CN"/>
              </w:rPr>
            </w:pPr>
          </w:p>
        </w:tc>
        <w:tc>
          <w:tcPr>
            <w:tcW w:w="1297"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76.344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337" w:type="dxa"/>
            <w:vMerge w:val="continue"/>
            <w:vAlign w:val="center"/>
          </w:tcPr>
          <w:p>
            <w:pPr>
              <w:jc w:val="center"/>
              <w:rPr>
                <w:rFonts w:hint="default" w:ascii="Times New Roman" w:hAnsi="Times New Roman" w:eastAsia="仿宋_GB2312" w:cs="Times New Roman"/>
                <w:sz w:val="24"/>
                <w:highlight w:val="none"/>
              </w:rPr>
            </w:pPr>
          </w:p>
        </w:tc>
        <w:tc>
          <w:tcPr>
            <w:tcW w:w="1440" w:type="dxa"/>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未利用地</w:t>
            </w:r>
          </w:p>
        </w:tc>
        <w:tc>
          <w:tcPr>
            <w:tcW w:w="1017"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6.4443</w:t>
            </w:r>
          </w:p>
        </w:tc>
        <w:tc>
          <w:tcPr>
            <w:tcW w:w="992" w:type="dxa"/>
            <w:vAlign w:val="center"/>
          </w:tcPr>
          <w:p>
            <w:pPr>
              <w:jc w:val="center"/>
              <w:rPr>
                <w:rFonts w:hint="default" w:ascii="Times New Roman" w:hAnsi="Times New Roman" w:cs="Times New Roman" w:eastAsiaTheme="minorEastAsia"/>
                <w:szCs w:val="21"/>
                <w:highlight w:val="none"/>
                <w:lang w:val="en-US" w:eastAsia="zh-CN"/>
              </w:rPr>
            </w:pPr>
            <w:r>
              <w:rPr>
                <w:rFonts w:hint="eastAsia" w:cs="Times New Roman" w:eastAsiaTheme="minorEastAsia"/>
                <w:szCs w:val="21"/>
                <w:highlight w:val="none"/>
                <w:lang w:val="en-US" w:eastAsia="zh-CN"/>
              </w:rPr>
              <w:t>240</w:t>
            </w:r>
          </w:p>
        </w:tc>
        <w:tc>
          <w:tcPr>
            <w:tcW w:w="116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1546.632</w:t>
            </w:r>
          </w:p>
        </w:tc>
        <w:tc>
          <w:tcPr>
            <w:tcW w:w="994" w:type="dxa"/>
            <w:tcBorders>
              <w:tl2br w:val="single" w:color="auto" w:sz="4" w:space="0"/>
              <w:tr2bl w:val="nil"/>
            </w:tcBorders>
            <w:vAlign w:val="center"/>
          </w:tcPr>
          <w:p>
            <w:pPr>
              <w:jc w:val="center"/>
              <w:rPr>
                <w:rFonts w:hint="default" w:cs="Times New Roman" w:eastAsiaTheme="minorEastAsia"/>
                <w:szCs w:val="21"/>
                <w:highlight w:val="none"/>
                <w:lang w:val="en-US" w:eastAsia="zh-CN"/>
              </w:rPr>
            </w:pPr>
          </w:p>
        </w:tc>
        <w:tc>
          <w:tcPr>
            <w:tcW w:w="1215" w:type="dxa"/>
            <w:tcBorders>
              <w:tl2br w:val="single" w:color="auto" w:sz="4" w:space="0"/>
              <w:tr2bl w:val="nil"/>
            </w:tcBorders>
            <w:vAlign w:val="center"/>
          </w:tcPr>
          <w:p>
            <w:pPr>
              <w:jc w:val="center"/>
              <w:rPr>
                <w:rFonts w:hint="default" w:cs="Times New Roman" w:eastAsiaTheme="minorEastAsia"/>
                <w:szCs w:val="21"/>
                <w:highlight w:val="none"/>
                <w:lang w:val="en-US" w:eastAsia="zh-CN"/>
              </w:rPr>
            </w:pPr>
          </w:p>
        </w:tc>
        <w:tc>
          <w:tcPr>
            <w:tcW w:w="1297"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1546.632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337" w:type="dxa"/>
            <w:vMerge w:val="continue"/>
            <w:vAlign w:val="center"/>
          </w:tcPr>
          <w:p>
            <w:pPr>
              <w:jc w:val="center"/>
              <w:rPr>
                <w:rFonts w:hint="default" w:ascii="Times New Roman" w:hAnsi="Times New Roman" w:eastAsia="仿宋_GB2312" w:cs="Times New Roman"/>
                <w:sz w:val="24"/>
                <w:highlight w:val="none"/>
              </w:rPr>
            </w:pPr>
          </w:p>
        </w:tc>
        <w:tc>
          <w:tcPr>
            <w:tcW w:w="6821" w:type="dxa"/>
            <w:gridSpan w:val="7"/>
            <w:vAlign w:val="center"/>
          </w:tcPr>
          <w:p>
            <w:pPr>
              <w:jc w:val="center"/>
              <w:rPr>
                <w:rFonts w:hint="default" w:ascii="Times New Roman" w:hAnsi="Times New Roman" w:cs="Times New Roman" w:eastAsiaTheme="minorEastAsia"/>
                <w:szCs w:val="21"/>
                <w:highlight w:val="none"/>
              </w:rPr>
            </w:pPr>
            <w:r>
              <w:rPr>
                <w:rFonts w:hint="default" w:ascii="Times New Roman" w:hAnsi="Times New Roman" w:eastAsia="仿宋_GB2312" w:cs="Times New Roman"/>
                <w:sz w:val="24"/>
                <w:highlight w:val="none"/>
              </w:rPr>
              <w:t>土地补偿费与安置补助费合计</w:t>
            </w:r>
          </w:p>
        </w:tc>
        <w:tc>
          <w:tcPr>
            <w:tcW w:w="1297" w:type="dxa"/>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highlight w:val="none"/>
                <w:lang w:val="en-US" w:eastAsia="zh-CN"/>
              </w:rPr>
            </w:pPr>
            <w:r>
              <w:rPr>
                <w:rFonts w:hint="eastAsia" w:cs="Times New Roman" w:eastAsiaTheme="minorEastAsia"/>
                <w:szCs w:val="21"/>
                <w:highlight w:val="none"/>
                <w:lang w:val="en-US" w:eastAsia="zh-CN"/>
              </w:rPr>
              <w:t>6467.808</w:t>
            </w:r>
          </w:p>
        </w:tc>
      </w:tr>
    </w:tbl>
    <w:p>
      <w:pPr>
        <w:spacing w:line="620" w:lineRule="exact"/>
        <w:jc w:val="center"/>
        <w:rPr>
          <w:rFonts w:hint="default" w:ascii="Times New Roman" w:hAnsi="Times New Roman" w:eastAsia="方正小标宋简体" w:cs="Times New Roman"/>
          <w:sz w:val="32"/>
          <w:szCs w:val="32"/>
          <w:highlight w:val="none"/>
        </w:rPr>
      </w:pPr>
    </w:p>
    <w:p>
      <w:pPr>
        <w:spacing w:line="620" w:lineRule="exact"/>
        <w:jc w:val="center"/>
        <w:rPr>
          <w:rFonts w:hint="default" w:ascii="Times New Roman" w:hAnsi="Times New Roman" w:eastAsia="方正小标宋简体" w:cs="Times New Roman"/>
          <w:sz w:val="32"/>
          <w:szCs w:val="32"/>
          <w:highlight w:val="none"/>
        </w:rPr>
      </w:pPr>
      <w:r>
        <w:rPr>
          <w:rFonts w:hint="default" w:ascii="Times New Roman" w:hAnsi="Times New Roman" w:eastAsia="方正小标宋简体" w:cs="Times New Roman"/>
          <w:sz w:val="32"/>
          <w:szCs w:val="32"/>
          <w:highlight w:val="none"/>
        </w:rPr>
        <w:t>土地补偿费与安置补助费一览表（</w:t>
      </w:r>
      <w:r>
        <w:rPr>
          <w:rFonts w:hint="eastAsia" w:eastAsia="方正小标宋简体" w:cs="Times New Roman"/>
          <w:sz w:val="32"/>
          <w:szCs w:val="32"/>
          <w:highlight w:val="none"/>
          <w:lang w:eastAsia="zh-CN"/>
        </w:rPr>
        <w:t>二</w:t>
      </w:r>
      <w:r>
        <w:rPr>
          <w:rFonts w:hint="default" w:ascii="Times New Roman" w:hAnsi="Times New Roman" w:eastAsia="方正小标宋简体" w:cs="Times New Roman"/>
          <w:sz w:val="32"/>
          <w:szCs w:val="32"/>
          <w:highlight w:val="none"/>
        </w:rPr>
        <w:t>）</w:t>
      </w:r>
    </w:p>
    <w:p>
      <w:pPr>
        <w:spacing w:line="620" w:lineRule="exact"/>
        <w:jc w:val="righ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24"/>
          <w:highlight w:val="none"/>
        </w:rPr>
        <w:t>（单位：公顷、万元/公顷、万元）</w:t>
      </w:r>
    </w:p>
    <w:tbl>
      <w:tblPr>
        <w:tblStyle w:val="7"/>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1"/>
        <w:gridCol w:w="480"/>
        <w:gridCol w:w="975"/>
        <w:gridCol w:w="1018"/>
        <w:gridCol w:w="992"/>
        <w:gridCol w:w="1163"/>
        <w:gridCol w:w="994"/>
        <w:gridCol w:w="1210"/>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1" w:type="dxa"/>
            <w:vMerge w:val="restart"/>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单位</w:t>
            </w:r>
          </w:p>
        </w:tc>
        <w:tc>
          <w:tcPr>
            <w:tcW w:w="1455" w:type="dxa"/>
            <w:gridSpan w:val="2"/>
            <w:vMerge w:val="restart"/>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土地类别</w:t>
            </w:r>
          </w:p>
        </w:tc>
        <w:tc>
          <w:tcPr>
            <w:tcW w:w="1018" w:type="dxa"/>
            <w:vMerge w:val="restart"/>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面积</w:t>
            </w:r>
          </w:p>
        </w:tc>
        <w:tc>
          <w:tcPr>
            <w:tcW w:w="2155" w:type="dxa"/>
            <w:gridSpan w:val="2"/>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土地补偿费</w:t>
            </w:r>
          </w:p>
        </w:tc>
        <w:tc>
          <w:tcPr>
            <w:tcW w:w="2204" w:type="dxa"/>
            <w:gridSpan w:val="2"/>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安置补助费</w:t>
            </w:r>
          </w:p>
        </w:tc>
        <w:tc>
          <w:tcPr>
            <w:tcW w:w="1302" w:type="dxa"/>
            <w:tcBorders>
              <w:bottom w:val="single" w:color="auto" w:sz="4" w:space="0"/>
            </w:tcBorders>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1" w:type="dxa"/>
            <w:vMerge w:val="continue"/>
            <w:vAlign w:val="center"/>
          </w:tcPr>
          <w:p>
            <w:pPr>
              <w:jc w:val="center"/>
              <w:rPr>
                <w:rFonts w:hint="default" w:ascii="Times New Roman" w:hAnsi="Times New Roman" w:eastAsia="仿宋_GB2312" w:cs="Times New Roman"/>
                <w:b/>
                <w:bCs/>
                <w:sz w:val="24"/>
                <w:highlight w:val="none"/>
              </w:rPr>
            </w:pPr>
          </w:p>
        </w:tc>
        <w:tc>
          <w:tcPr>
            <w:tcW w:w="1455" w:type="dxa"/>
            <w:gridSpan w:val="2"/>
            <w:vMerge w:val="continue"/>
            <w:vAlign w:val="center"/>
          </w:tcPr>
          <w:p>
            <w:pPr>
              <w:jc w:val="center"/>
              <w:rPr>
                <w:rFonts w:hint="default" w:ascii="Times New Roman" w:hAnsi="Times New Roman" w:eastAsia="仿宋_GB2312" w:cs="Times New Roman"/>
                <w:b/>
                <w:bCs/>
                <w:sz w:val="24"/>
                <w:highlight w:val="none"/>
              </w:rPr>
            </w:pPr>
          </w:p>
        </w:tc>
        <w:tc>
          <w:tcPr>
            <w:tcW w:w="1018" w:type="dxa"/>
            <w:vMerge w:val="continue"/>
            <w:vAlign w:val="center"/>
          </w:tcPr>
          <w:p>
            <w:pPr>
              <w:jc w:val="center"/>
              <w:rPr>
                <w:rFonts w:hint="default" w:ascii="Times New Roman" w:hAnsi="Times New Roman" w:eastAsia="仿宋_GB2312" w:cs="Times New Roman"/>
                <w:b/>
                <w:bCs/>
                <w:sz w:val="24"/>
                <w:highlight w:val="none"/>
              </w:rPr>
            </w:pPr>
          </w:p>
        </w:tc>
        <w:tc>
          <w:tcPr>
            <w:tcW w:w="992" w:type="dxa"/>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补偿</w:t>
            </w:r>
          </w:p>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标准</w:t>
            </w:r>
          </w:p>
        </w:tc>
        <w:tc>
          <w:tcPr>
            <w:tcW w:w="1163" w:type="dxa"/>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补偿</w:t>
            </w:r>
          </w:p>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金额</w:t>
            </w:r>
          </w:p>
        </w:tc>
        <w:tc>
          <w:tcPr>
            <w:tcW w:w="994" w:type="dxa"/>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补助</w:t>
            </w:r>
          </w:p>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标准</w:t>
            </w:r>
          </w:p>
        </w:tc>
        <w:tc>
          <w:tcPr>
            <w:tcW w:w="1210" w:type="dxa"/>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补助</w:t>
            </w:r>
          </w:p>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金额</w:t>
            </w:r>
          </w:p>
        </w:tc>
        <w:tc>
          <w:tcPr>
            <w:tcW w:w="1302" w:type="dxa"/>
            <w:tcBorders>
              <w:tl2br w:val="single" w:color="auto" w:sz="4" w:space="0"/>
              <w:tr2bl w:val="nil"/>
            </w:tcBorders>
            <w:vAlign w:val="center"/>
          </w:tcPr>
          <w:p>
            <w:pPr>
              <w:jc w:val="center"/>
              <w:rPr>
                <w:rFonts w:hint="default" w:ascii="Times New Roman" w:hAnsi="Times New Roman" w:eastAsia="仿宋_GB2312" w:cs="Times New Roman"/>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321" w:type="dxa"/>
            <w:vMerge w:val="restart"/>
            <w:vAlign w:val="center"/>
          </w:tcPr>
          <w:p>
            <w:pPr>
              <w:widowControl/>
              <w:jc w:val="distribute"/>
              <w:textAlignment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广州市花都区花东镇</w:t>
            </w:r>
            <w:r>
              <w:rPr>
                <w:rFonts w:hint="eastAsia" w:ascii="Times New Roman" w:hAnsi="Times New Roman" w:eastAsia="仿宋_GB2312" w:cs="Times New Roman"/>
                <w:sz w:val="24"/>
                <w:highlight w:val="none"/>
                <w:lang w:eastAsia="zh-CN"/>
              </w:rPr>
              <w:t>三凤</w:t>
            </w:r>
            <w:r>
              <w:rPr>
                <w:rFonts w:hint="default" w:ascii="Times New Roman" w:hAnsi="Times New Roman" w:eastAsia="仿宋_GB2312" w:cs="Times New Roman"/>
                <w:sz w:val="24"/>
                <w:highlight w:val="none"/>
              </w:rPr>
              <w:t>村第一经济合作社</w:t>
            </w:r>
          </w:p>
          <w:p>
            <w:pPr>
              <w:widowControl/>
              <w:jc w:val="distribute"/>
              <w:textAlignment w:val="center"/>
              <w:rPr>
                <w:rFonts w:hint="eastAsia" w:ascii="Times New Roman" w:hAnsi="Times New Roman" w:eastAsia="仿宋_GB2312" w:cs="Times New Roman"/>
                <w:sz w:val="24"/>
                <w:highlight w:val="none"/>
                <w:lang w:eastAsia="zh-CN"/>
              </w:rPr>
            </w:pPr>
            <w:r>
              <w:rPr>
                <w:rFonts w:hint="eastAsia" w:eastAsia="仿宋_GB2312" w:cs="Times New Roman"/>
                <w:sz w:val="24"/>
                <w:highlight w:val="none"/>
                <w:lang w:eastAsia="zh-CN"/>
              </w:rPr>
              <w:t>（机场控制区内）</w:t>
            </w:r>
          </w:p>
        </w:tc>
        <w:tc>
          <w:tcPr>
            <w:tcW w:w="480" w:type="dxa"/>
            <w:vMerge w:val="restart"/>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耕地</w:t>
            </w:r>
          </w:p>
        </w:tc>
        <w:tc>
          <w:tcPr>
            <w:tcW w:w="975" w:type="dxa"/>
            <w:vAlign w:val="center"/>
          </w:tcPr>
          <w:p>
            <w:pPr>
              <w:jc w:val="center"/>
              <w:rPr>
                <w:rFonts w:hint="eastAsia" w:ascii="Times New Roman" w:hAnsi="Times New Roman" w:eastAsia="仿宋_GB2312" w:cs="Times New Roman"/>
                <w:sz w:val="24"/>
                <w:highlight w:val="none"/>
                <w:lang w:eastAsia="zh-CN"/>
              </w:rPr>
            </w:pPr>
            <w:r>
              <w:rPr>
                <w:rFonts w:hint="eastAsia" w:eastAsia="仿宋_GB2312" w:cs="Times New Roman"/>
                <w:sz w:val="24"/>
                <w:highlight w:val="none"/>
                <w:lang w:eastAsia="zh-CN"/>
              </w:rPr>
              <w:t>水田</w:t>
            </w:r>
          </w:p>
        </w:tc>
        <w:tc>
          <w:tcPr>
            <w:tcW w:w="1018"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c>
          <w:tcPr>
            <w:tcW w:w="99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120</w:t>
            </w:r>
          </w:p>
        </w:tc>
        <w:tc>
          <w:tcPr>
            <w:tcW w:w="116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c>
          <w:tcPr>
            <w:tcW w:w="99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120</w:t>
            </w:r>
          </w:p>
        </w:tc>
        <w:tc>
          <w:tcPr>
            <w:tcW w:w="1210"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c>
          <w:tcPr>
            <w:tcW w:w="130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321" w:type="dxa"/>
            <w:vMerge w:val="continue"/>
            <w:vAlign w:val="center"/>
          </w:tcPr>
          <w:p>
            <w:pPr>
              <w:jc w:val="center"/>
              <w:rPr>
                <w:rFonts w:hint="default" w:ascii="Times New Roman" w:hAnsi="Times New Roman" w:eastAsia="仿宋_GB2312" w:cs="Times New Roman"/>
                <w:sz w:val="24"/>
                <w:highlight w:val="none"/>
              </w:rPr>
            </w:pPr>
          </w:p>
        </w:tc>
        <w:tc>
          <w:tcPr>
            <w:tcW w:w="480" w:type="dxa"/>
            <w:vMerge w:val="continue"/>
            <w:vAlign w:val="center"/>
          </w:tcPr>
          <w:p>
            <w:pPr>
              <w:jc w:val="center"/>
              <w:rPr>
                <w:rFonts w:hint="default" w:ascii="Times New Roman" w:hAnsi="Times New Roman" w:eastAsia="仿宋_GB2312" w:cs="Times New Roman"/>
                <w:sz w:val="24"/>
                <w:highlight w:val="none"/>
              </w:rPr>
            </w:pPr>
          </w:p>
        </w:tc>
        <w:tc>
          <w:tcPr>
            <w:tcW w:w="975" w:type="dxa"/>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水浇地</w:t>
            </w:r>
          </w:p>
        </w:tc>
        <w:tc>
          <w:tcPr>
            <w:tcW w:w="1018"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c>
          <w:tcPr>
            <w:tcW w:w="99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120</w:t>
            </w:r>
          </w:p>
        </w:tc>
        <w:tc>
          <w:tcPr>
            <w:tcW w:w="116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c>
          <w:tcPr>
            <w:tcW w:w="99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120</w:t>
            </w:r>
          </w:p>
        </w:tc>
        <w:tc>
          <w:tcPr>
            <w:tcW w:w="1210"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c>
          <w:tcPr>
            <w:tcW w:w="130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321" w:type="dxa"/>
            <w:vMerge w:val="continue"/>
            <w:vAlign w:val="center"/>
          </w:tcPr>
          <w:p>
            <w:pPr>
              <w:jc w:val="center"/>
              <w:rPr>
                <w:rFonts w:hint="default" w:ascii="Times New Roman" w:hAnsi="Times New Roman" w:eastAsia="仿宋_GB2312" w:cs="Times New Roman"/>
                <w:sz w:val="24"/>
                <w:highlight w:val="none"/>
              </w:rPr>
            </w:pPr>
          </w:p>
        </w:tc>
        <w:tc>
          <w:tcPr>
            <w:tcW w:w="480" w:type="dxa"/>
            <w:vMerge w:val="continue"/>
            <w:vAlign w:val="center"/>
          </w:tcPr>
          <w:p>
            <w:pPr>
              <w:jc w:val="center"/>
              <w:rPr>
                <w:rFonts w:hint="default" w:ascii="Times New Roman" w:hAnsi="Times New Roman" w:eastAsia="仿宋_GB2312" w:cs="Times New Roman"/>
                <w:sz w:val="24"/>
                <w:highlight w:val="none"/>
              </w:rPr>
            </w:pPr>
          </w:p>
        </w:tc>
        <w:tc>
          <w:tcPr>
            <w:tcW w:w="975" w:type="dxa"/>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旱地</w:t>
            </w:r>
          </w:p>
        </w:tc>
        <w:tc>
          <w:tcPr>
            <w:tcW w:w="1018"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0.1116</w:t>
            </w:r>
          </w:p>
        </w:tc>
        <w:tc>
          <w:tcPr>
            <w:tcW w:w="99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120</w:t>
            </w:r>
          </w:p>
        </w:tc>
        <w:tc>
          <w:tcPr>
            <w:tcW w:w="116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13.392</w:t>
            </w:r>
          </w:p>
        </w:tc>
        <w:tc>
          <w:tcPr>
            <w:tcW w:w="99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120</w:t>
            </w:r>
          </w:p>
        </w:tc>
        <w:tc>
          <w:tcPr>
            <w:tcW w:w="1210"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13.392</w:t>
            </w:r>
          </w:p>
        </w:tc>
        <w:tc>
          <w:tcPr>
            <w:tcW w:w="130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26.784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321" w:type="dxa"/>
            <w:vMerge w:val="continue"/>
            <w:vAlign w:val="center"/>
          </w:tcPr>
          <w:p>
            <w:pPr>
              <w:jc w:val="center"/>
              <w:rPr>
                <w:rFonts w:hint="default" w:ascii="Times New Roman" w:hAnsi="Times New Roman" w:eastAsia="仿宋_GB2312" w:cs="Times New Roman"/>
                <w:sz w:val="24"/>
                <w:highlight w:val="none"/>
              </w:rPr>
            </w:pPr>
          </w:p>
        </w:tc>
        <w:tc>
          <w:tcPr>
            <w:tcW w:w="1455" w:type="dxa"/>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园地</w:t>
            </w:r>
          </w:p>
        </w:tc>
        <w:tc>
          <w:tcPr>
            <w:tcW w:w="1018"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1.3949</w:t>
            </w:r>
          </w:p>
        </w:tc>
        <w:tc>
          <w:tcPr>
            <w:tcW w:w="99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120</w:t>
            </w:r>
          </w:p>
        </w:tc>
        <w:tc>
          <w:tcPr>
            <w:tcW w:w="116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167.388</w:t>
            </w:r>
          </w:p>
        </w:tc>
        <w:tc>
          <w:tcPr>
            <w:tcW w:w="99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120</w:t>
            </w:r>
          </w:p>
        </w:tc>
        <w:tc>
          <w:tcPr>
            <w:tcW w:w="1210"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167.388</w:t>
            </w:r>
          </w:p>
        </w:tc>
        <w:tc>
          <w:tcPr>
            <w:tcW w:w="130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334.776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321" w:type="dxa"/>
            <w:vMerge w:val="continue"/>
            <w:vAlign w:val="center"/>
          </w:tcPr>
          <w:p>
            <w:pPr>
              <w:jc w:val="center"/>
              <w:rPr>
                <w:rFonts w:hint="default" w:ascii="Times New Roman" w:hAnsi="Times New Roman" w:eastAsia="仿宋_GB2312" w:cs="Times New Roman"/>
                <w:sz w:val="24"/>
                <w:highlight w:val="none"/>
              </w:rPr>
            </w:pPr>
          </w:p>
        </w:tc>
        <w:tc>
          <w:tcPr>
            <w:tcW w:w="1455" w:type="dxa"/>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林地</w:t>
            </w:r>
          </w:p>
        </w:tc>
        <w:tc>
          <w:tcPr>
            <w:tcW w:w="1018"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c>
          <w:tcPr>
            <w:tcW w:w="99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120</w:t>
            </w:r>
          </w:p>
        </w:tc>
        <w:tc>
          <w:tcPr>
            <w:tcW w:w="116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c>
          <w:tcPr>
            <w:tcW w:w="99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120</w:t>
            </w:r>
          </w:p>
        </w:tc>
        <w:tc>
          <w:tcPr>
            <w:tcW w:w="1210"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c>
          <w:tcPr>
            <w:tcW w:w="1302" w:type="dxa"/>
            <w:vAlign w:val="center"/>
          </w:tcPr>
          <w:p>
            <w:pPr>
              <w:jc w:val="center"/>
              <w:rPr>
                <w:rFonts w:hint="default" w:cs="Times New Roman" w:eastAsiaTheme="minorEastAsia"/>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321" w:type="dxa"/>
            <w:vMerge w:val="continue"/>
            <w:vAlign w:val="center"/>
          </w:tcPr>
          <w:p>
            <w:pPr>
              <w:jc w:val="center"/>
              <w:rPr>
                <w:rFonts w:hint="default" w:ascii="Times New Roman" w:hAnsi="Times New Roman" w:eastAsia="仿宋_GB2312" w:cs="Times New Roman"/>
                <w:sz w:val="24"/>
                <w:highlight w:val="none"/>
              </w:rPr>
            </w:pPr>
          </w:p>
        </w:tc>
        <w:tc>
          <w:tcPr>
            <w:tcW w:w="1455" w:type="dxa"/>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其他农用地</w:t>
            </w:r>
          </w:p>
        </w:tc>
        <w:tc>
          <w:tcPr>
            <w:tcW w:w="1018"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0.1281</w:t>
            </w:r>
          </w:p>
        </w:tc>
        <w:tc>
          <w:tcPr>
            <w:tcW w:w="99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120</w:t>
            </w:r>
          </w:p>
        </w:tc>
        <w:tc>
          <w:tcPr>
            <w:tcW w:w="116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15.372</w:t>
            </w:r>
          </w:p>
        </w:tc>
        <w:tc>
          <w:tcPr>
            <w:tcW w:w="994" w:type="dxa"/>
            <w:tcBorders>
              <w:bottom w:val="single" w:color="auto" w:sz="4" w:space="0"/>
            </w:tcBorders>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120</w:t>
            </w:r>
          </w:p>
        </w:tc>
        <w:tc>
          <w:tcPr>
            <w:tcW w:w="1210" w:type="dxa"/>
            <w:tcBorders>
              <w:bottom w:val="single" w:color="auto" w:sz="4" w:space="0"/>
            </w:tcBorders>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15.372</w:t>
            </w:r>
          </w:p>
        </w:tc>
        <w:tc>
          <w:tcPr>
            <w:tcW w:w="130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30.744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321" w:type="dxa"/>
            <w:vMerge w:val="continue"/>
            <w:vAlign w:val="center"/>
          </w:tcPr>
          <w:p>
            <w:pPr>
              <w:jc w:val="center"/>
              <w:rPr>
                <w:rFonts w:hint="default" w:ascii="Times New Roman" w:hAnsi="Times New Roman" w:eastAsia="仿宋_GB2312" w:cs="Times New Roman"/>
                <w:sz w:val="24"/>
                <w:highlight w:val="none"/>
              </w:rPr>
            </w:pPr>
          </w:p>
        </w:tc>
        <w:tc>
          <w:tcPr>
            <w:tcW w:w="1455" w:type="dxa"/>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建设用地</w:t>
            </w:r>
          </w:p>
        </w:tc>
        <w:tc>
          <w:tcPr>
            <w:tcW w:w="1018"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c>
          <w:tcPr>
            <w:tcW w:w="99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240</w:t>
            </w:r>
          </w:p>
        </w:tc>
        <w:tc>
          <w:tcPr>
            <w:tcW w:w="116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c>
          <w:tcPr>
            <w:tcW w:w="994" w:type="dxa"/>
            <w:tcBorders>
              <w:bottom w:val="single" w:color="auto" w:sz="4" w:space="0"/>
              <w:tl2br w:val="single" w:color="auto" w:sz="4" w:space="0"/>
              <w:tr2bl w:val="nil"/>
            </w:tcBorders>
            <w:vAlign w:val="center"/>
          </w:tcPr>
          <w:p>
            <w:pPr>
              <w:jc w:val="center"/>
              <w:rPr>
                <w:rFonts w:hint="default" w:cs="Times New Roman" w:eastAsiaTheme="minorEastAsia"/>
                <w:szCs w:val="21"/>
                <w:highlight w:val="none"/>
                <w:lang w:val="en-US" w:eastAsia="zh-CN"/>
              </w:rPr>
            </w:pPr>
          </w:p>
        </w:tc>
        <w:tc>
          <w:tcPr>
            <w:tcW w:w="1210" w:type="dxa"/>
            <w:tcBorders>
              <w:bottom w:val="single" w:color="auto" w:sz="4" w:space="0"/>
              <w:tl2br w:val="single" w:color="auto" w:sz="4" w:space="0"/>
              <w:tr2bl w:val="nil"/>
            </w:tcBorders>
            <w:vAlign w:val="center"/>
          </w:tcPr>
          <w:p>
            <w:pPr>
              <w:jc w:val="center"/>
              <w:rPr>
                <w:rFonts w:hint="default" w:cs="Times New Roman" w:eastAsiaTheme="minorEastAsia"/>
                <w:szCs w:val="21"/>
                <w:highlight w:val="none"/>
                <w:lang w:val="en-US" w:eastAsia="zh-CN"/>
              </w:rPr>
            </w:pPr>
          </w:p>
        </w:tc>
        <w:tc>
          <w:tcPr>
            <w:tcW w:w="130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321" w:type="dxa"/>
            <w:vMerge w:val="continue"/>
            <w:vAlign w:val="center"/>
          </w:tcPr>
          <w:p>
            <w:pPr>
              <w:jc w:val="center"/>
              <w:rPr>
                <w:rFonts w:hint="default" w:ascii="Times New Roman" w:hAnsi="Times New Roman" w:eastAsia="仿宋_GB2312" w:cs="Times New Roman"/>
                <w:sz w:val="24"/>
                <w:highlight w:val="none"/>
              </w:rPr>
            </w:pPr>
          </w:p>
        </w:tc>
        <w:tc>
          <w:tcPr>
            <w:tcW w:w="1455" w:type="dxa"/>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未利用地</w:t>
            </w:r>
          </w:p>
        </w:tc>
        <w:tc>
          <w:tcPr>
            <w:tcW w:w="1018"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0.0477</w:t>
            </w:r>
          </w:p>
        </w:tc>
        <w:tc>
          <w:tcPr>
            <w:tcW w:w="99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240</w:t>
            </w:r>
          </w:p>
        </w:tc>
        <w:tc>
          <w:tcPr>
            <w:tcW w:w="116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11.448</w:t>
            </w:r>
          </w:p>
        </w:tc>
        <w:tc>
          <w:tcPr>
            <w:tcW w:w="994" w:type="dxa"/>
            <w:tcBorders>
              <w:tl2br w:val="single" w:color="auto" w:sz="4" w:space="0"/>
              <w:tr2bl w:val="nil"/>
            </w:tcBorders>
            <w:vAlign w:val="center"/>
          </w:tcPr>
          <w:p>
            <w:pPr>
              <w:jc w:val="center"/>
              <w:rPr>
                <w:rFonts w:hint="default" w:cs="Times New Roman" w:eastAsiaTheme="minorEastAsia"/>
                <w:szCs w:val="21"/>
                <w:highlight w:val="none"/>
                <w:lang w:val="en-US" w:eastAsia="zh-CN"/>
              </w:rPr>
            </w:pPr>
          </w:p>
        </w:tc>
        <w:tc>
          <w:tcPr>
            <w:tcW w:w="1210" w:type="dxa"/>
            <w:tcBorders>
              <w:tl2br w:val="single" w:color="auto" w:sz="4" w:space="0"/>
              <w:tr2bl w:val="nil"/>
            </w:tcBorders>
            <w:vAlign w:val="center"/>
          </w:tcPr>
          <w:p>
            <w:pPr>
              <w:jc w:val="center"/>
              <w:rPr>
                <w:rFonts w:hint="default" w:cs="Times New Roman" w:eastAsiaTheme="minorEastAsia"/>
                <w:szCs w:val="21"/>
                <w:highlight w:val="none"/>
                <w:lang w:val="en-US" w:eastAsia="zh-CN"/>
              </w:rPr>
            </w:pPr>
          </w:p>
        </w:tc>
        <w:tc>
          <w:tcPr>
            <w:tcW w:w="130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11.448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321" w:type="dxa"/>
            <w:vMerge w:val="continue"/>
            <w:vAlign w:val="center"/>
          </w:tcPr>
          <w:p>
            <w:pPr>
              <w:jc w:val="center"/>
              <w:rPr>
                <w:rFonts w:hint="default" w:ascii="Times New Roman" w:hAnsi="Times New Roman" w:eastAsia="仿宋_GB2312" w:cs="Times New Roman"/>
                <w:sz w:val="24"/>
                <w:highlight w:val="none"/>
              </w:rPr>
            </w:pPr>
          </w:p>
        </w:tc>
        <w:tc>
          <w:tcPr>
            <w:tcW w:w="6832" w:type="dxa"/>
            <w:gridSpan w:val="7"/>
            <w:vAlign w:val="center"/>
          </w:tcPr>
          <w:p>
            <w:pPr>
              <w:jc w:val="center"/>
              <w:rPr>
                <w:rFonts w:hint="default" w:ascii="Times New Roman" w:hAnsi="Times New Roman" w:cs="Times New Roman" w:eastAsiaTheme="minorEastAsia"/>
                <w:szCs w:val="21"/>
                <w:highlight w:val="none"/>
              </w:rPr>
            </w:pPr>
            <w:r>
              <w:rPr>
                <w:rFonts w:hint="default" w:ascii="Times New Roman" w:hAnsi="Times New Roman" w:eastAsia="仿宋_GB2312" w:cs="Times New Roman"/>
                <w:sz w:val="24"/>
                <w:highlight w:val="none"/>
              </w:rPr>
              <w:t>土地补偿费与安置补助费合计</w:t>
            </w:r>
          </w:p>
        </w:tc>
        <w:tc>
          <w:tcPr>
            <w:tcW w:w="1302" w:type="dxa"/>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highlight w:val="none"/>
                <w:lang w:val="en-US" w:eastAsia="zh-CN"/>
              </w:rPr>
            </w:pPr>
            <w:r>
              <w:rPr>
                <w:rFonts w:hint="eastAsia" w:cs="Times New Roman" w:eastAsiaTheme="minorEastAsia"/>
                <w:szCs w:val="21"/>
                <w:highlight w:val="none"/>
                <w:lang w:val="en-US" w:eastAsia="zh-CN"/>
              </w:rPr>
              <w:t>403.752</w:t>
            </w:r>
          </w:p>
        </w:tc>
      </w:tr>
    </w:tbl>
    <w:p>
      <w:pPr>
        <w:spacing w:line="620" w:lineRule="exact"/>
        <w:jc w:val="center"/>
        <w:rPr>
          <w:rFonts w:hint="default" w:ascii="Times New Roman" w:hAnsi="Times New Roman" w:eastAsia="方正小标宋简体" w:cs="Times New Roman"/>
          <w:sz w:val="32"/>
          <w:szCs w:val="32"/>
          <w:highlight w:val="none"/>
        </w:rPr>
      </w:pPr>
      <w:r>
        <w:rPr>
          <w:rFonts w:hint="default" w:ascii="Times New Roman" w:hAnsi="Times New Roman" w:eastAsia="方正小标宋简体" w:cs="Times New Roman"/>
          <w:sz w:val="32"/>
          <w:szCs w:val="32"/>
          <w:highlight w:val="none"/>
        </w:rPr>
        <w:t>土地补偿费与安置补助费一览表（</w:t>
      </w:r>
      <w:r>
        <w:rPr>
          <w:rFonts w:hint="eastAsia" w:eastAsia="方正小标宋简体" w:cs="Times New Roman"/>
          <w:sz w:val="32"/>
          <w:szCs w:val="32"/>
          <w:highlight w:val="none"/>
          <w:lang w:eastAsia="zh-CN"/>
        </w:rPr>
        <w:t>三</w:t>
      </w:r>
      <w:r>
        <w:rPr>
          <w:rFonts w:hint="default" w:ascii="Times New Roman" w:hAnsi="Times New Roman" w:eastAsia="方正小标宋简体" w:cs="Times New Roman"/>
          <w:sz w:val="32"/>
          <w:szCs w:val="32"/>
          <w:highlight w:val="none"/>
        </w:rPr>
        <w:t>）</w:t>
      </w:r>
    </w:p>
    <w:p>
      <w:pPr>
        <w:spacing w:line="620" w:lineRule="exact"/>
        <w:jc w:val="righ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24"/>
          <w:highlight w:val="none"/>
        </w:rPr>
        <w:t>（单位：公顷、万元/公顷、万元）</w:t>
      </w:r>
    </w:p>
    <w:tbl>
      <w:tblPr>
        <w:tblStyle w:val="7"/>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1"/>
        <w:gridCol w:w="495"/>
        <w:gridCol w:w="960"/>
        <w:gridCol w:w="1018"/>
        <w:gridCol w:w="992"/>
        <w:gridCol w:w="1163"/>
        <w:gridCol w:w="994"/>
        <w:gridCol w:w="1103"/>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1" w:type="dxa"/>
            <w:vMerge w:val="restart"/>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单位</w:t>
            </w:r>
          </w:p>
        </w:tc>
        <w:tc>
          <w:tcPr>
            <w:tcW w:w="1455" w:type="dxa"/>
            <w:gridSpan w:val="2"/>
            <w:vMerge w:val="restart"/>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土地类别</w:t>
            </w:r>
          </w:p>
        </w:tc>
        <w:tc>
          <w:tcPr>
            <w:tcW w:w="1018" w:type="dxa"/>
            <w:vMerge w:val="restart"/>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面积</w:t>
            </w:r>
          </w:p>
        </w:tc>
        <w:tc>
          <w:tcPr>
            <w:tcW w:w="2155" w:type="dxa"/>
            <w:gridSpan w:val="2"/>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土地补偿费</w:t>
            </w:r>
          </w:p>
        </w:tc>
        <w:tc>
          <w:tcPr>
            <w:tcW w:w="2097" w:type="dxa"/>
            <w:gridSpan w:val="2"/>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安置补助费</w:t>
            </w:r>
          </w:p>
        </w:tc>
        <w:tc>
          <w:tcPr>
            <w:tcW w:w="1409" w:type="dxa"/>
            <w:tcBorders>
              <w:bottom w:val="single" w:color="auto" w:sz="4" w:space="0"/>
            </w:tcBorders>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1" w:type="dxa"/>
            <w:vMerge w:val="continue"/>
            <w:vAlign w:val="center"/>
          </w:tcPr>
          <w:p>
            <w:pPr>
              <w:jc w:val="center"/>
              <w:rPr>
                <w:rFonts w:hint="default" w:ascii="Times New Roman" w:hAnsi="Times New Roman" w:eastAsia="仿宋_GB2312" w:cs="Times New Roman"/>
                <w:b/>
                <w:bCs/>
                <w:sz w:val="24"/>
                <w:highlight w:val="none"/>
              </w:rPr>
            </w:pPr>
          </w:p>
        </w:tc>
        <w:tc>
          <w:tcPr>
            <w:tcW w:w="1455" w:type="dxa"/>
            <w:gridSpan w:val="2"/>
            <w:vMerge w:val="continue"/>
            <w:vAlign w:val="center"/>
          </w:tcPr>
          <w:p>
            <w:pPr>
              <w:jc w:val="center"/>
              <w:rPr>
                <w:rFonts w:hint="default" w:ascii="Times New Roman" w:hAnsi="Times New Roman" w:eastAsia="仿宋_GB2312" w:cs="Times New Roman"/>
                <w:b/>
                <w:bCs/>
                <w:sz w:val="24"/>
                <w:highlight w:val="none"/>
              </w:rPr>
            </w:pPr>
          </w:p>
        </w:tc>
        <w:tc>
          <w:tcPr>
            <w:tcW w:w="1018" w:type="dxa"/>
            <w:vMerge w:val="continue"/>
            <w:vAlign w:val="center"/>
          </w:tcPr>
          <w:p>
            <w:pPr>
              <w:jc w:val="center"/>
              <w:rPr>
                <w:rFonts w:hint="default" w:ascii="Times New Roman" w:hAnsi="Times New Roman" w:eastAsia="仿宋_GB2312" w:cs="Times New Roman"/>
                <w:b/>
                <w:bCs/>
                <w:sz w:val="24"/>
                <w:highlight w:val="none"/>
              </w:rPr>
            </w:pPr>
          </w:p>
        </w:tc>
        <w:tc>
          <w:tcPr>
            <w:tcW w:w="992" w:type="dxa"/>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补偿</w:t>
            </w:r>
          </w:p>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标准</w:t>
            </w:r>
          </w:p>
        </w:tc>
        <w:tc>
          <w:tcPr>
            <w:tcW w:w="1163" w:type="dxa"/>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补偿</w:t>
            </w:r>
          </w:p>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金额</w:t>
            </w:r>
          </w:p>
        </w:tc>
        <w:tc>
          <w:tcPr>
            <w:tcW w:w="994" w:type="dxa"/>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补助</w:t>
            </w:r>
          </w:p>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标准</w:t>
            </w:r>
          </w:p>
        </w:tc>
        <w:tc>
          <w:tcPr>
            <w:tcW w:w="1103" w:type="dxa"/>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补助</w:t>
            </w:r>
          </w:p>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金额</w:t>
            </w:r>
          </w:p>
        </w:tc>
        <w:tc>
          <w:tcPr>
            <w:tcW w:w="1409" w:type="dxa"/>
            <w:tcBorders>
              <w:tl2br w:val="single" w:color="auto" w:sz="4" w:space="0"/>
              <w:tr2bl w:val="nil"/>
            </w:tcBorders>
            <w:vAlign w:val="center"/>
          </w:tcPr>
          <w:p>
            <w:pPr>
              <w:jc w:val="center"/>
              <w:rPr>
                <w:rFonts w:hint="default" w:ascii="Times New Roman" w:hAnsi="Times New Roman" w:eastAsia="仿宋_GB2312" w:cs="Times New Roman"/>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1321" w:type="dxa"/>
            <w:vMerge w:val="restart"/>
            <w:vAlign w:val="center"/>
          </w:tcPr>
          <w:p>
            <w:pPr>
              <w:widowControl/>
              <w:jc w:val="distribute"/>
              <w:textAlignment w:val="center"/>
              <w:rPr>
                <w:rFonts w:hint="eastAsia" w:ascii="Times New Roman" w:hAnsi="Times New Roman" w:eastAsia="仿宋_GB2312" w:cs="Times New Roman"/>
                <w:sz w:val="24"/>
                <w:highlight w:val="none"/>
                <w:lang w:val="en-US" w:eastAsia="zh-CN"/>
              </w:rPr>
            </w:pPr>
            <w:r>
              <w:rPr>
                <w:rFonts w:hint="default" w:ascii="Times New Roman" w:hAnsi="Times New Roman" w:eastAsia="仿宋_GB2312" w:cs="Times New Roman"/>
                <w:sz w:val="24"/>
                <w:highlight w:val="none"/>
              </w:rPr>
              <w:t>广州市花都区花东镇</w:t>
            </w:r>
            <w:r>
              <w:rPr>
                <w:rFonts w:hint="eastAsia" w:ascii="Times New Roman" w:hAnsi="Times New Roman" w:eastAsia="仿宋_GB2312" w:cs="Times New Roman"/>
                <w:sz w:val="24"/>
                <w:highlight w:val="none"/>
                <w:lang w:val="en-US" w:eastAsia="zh-CN"/>
              </w:rPr>
              <w:t>南溪经济联合社，南溪经济联合社、南溪村第二经济合作社（共有），南溪村第三经济合作社、第四经济合作社（共有），南溪村第三经济合作社，南溪村第四经济合作社，南溪村第五经济合作社，南溪村第六经济合作社</w:t>
            </w:r>
          </w:p>
          <w:p>
            <w:pPr>
              <w:widowControl/>
              <w:jc w:val="distribute"/>
              <w:textAlignment w:val="center"/>
              <w:rPr>
                <w:rFonts w:hint="eastAsia" w:ascii="Times New Roman" w:hAnsi="Times New Roman" w:eastAsia="仿宋_GB2312" w:cs="Times New Roman"/>
                <w:sz w:val="24"/>
                <w:highlight w:val="none"/>
                <w:lang w:val="en-US" w:eastAsia="zh-CN"/>
              </w:rPr>
            </w:pPr>
            <w:r>
              <w:rPr>
                <w:rFonts w:hint="eastAsia" w:eastAsia="仿宋_GB2312" w:cs="Times New Roman"/>
                <w:sz w:val="24"/>
                <w:highlight w:val="none"/>
                <w:lang w:val="en-US" w:eastAsia="zh-CN"/>
              </w:rPr>
              <w:t>（机场控制区内）</w:t>
            </w:r>
          </w:p>
        </w:tc>
        <w:tc>
          <w:tcPr>
            <w:tcW w:w="495" w:type="dxa"/>
            <w:vMerge w:val="restart"/>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耕地</w:t>
            </w:r>
          </w:p>
        </w:tc>
        <w:tc>
          <w:tcPr>
            <w:tcW w:w="960" w:type="dxa"/>
            <w:vAlign w:val="center"/>
          </w:tcPr>
          <w:p>
            <w:pPr>
              <w:jc w:val="center"/>
              <w:rPr>
                <w:rFonts w:hint="eastAsia" w:ascii="Times New Roman" w:hAnsi="Times New Roman" w:eastAsia="仿宋_GB2312" w:cs="Times New Roman"/>
                <w:sz w:val="24"/>
                <w:highlight w:val="none"/>
                <w:lang w:val="en-US" w:eastAsia="zh-CN"/>
              </w:rPr>
            </w:pPr>
            <w:r>
              <w:rPr>
                <w:rFonts w:hint="default" w:ascii="Times New Roman" w:hAnsi="Times New Roman" w:eastAsia="仿宋_GB2312" w:cs="Times New Roman"/>
                <w:sz w:val="24"/>
                <w:highlight w:val="none"/>
              </w:rPr>
              <w:t>水</w:t>
            </w:r>
            <w:r>
              <w:rPr>
                <w:rFonts w:hint="eastAsia" w:eastAsia="仿宋_GB2312" w:cs="Times New Roman"/>
                <w:sz w:val="24"/>
                <w:highlight w:val="none"/>
                <w:lang w:eastAsia="zh-CN"/>
              </w:rPr>
              <w:t>田</w:t>
            </w:r>
          </w:p>
        </w:tc>
        <w:tc>
          <w:tcPr>
            <w:tcW w:w="1018"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c>
          <w:tcPr>
            <w:tcW w:w="99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120</w:t>
            </w:r>
          </w:p>
        </w:tc>
        <w:tc>
          <w:tcPr>
            <w:tcW w:w="116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c>
          <w:tcPr>
            <w:tcW w:w="99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120</w:t>
            </w:r>
          </w:p>
        </w:tc>
        <w:tc>
          <w:tcPr>
            <w:tcW w:w="110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c>
          <w:tcPr>
            <w:tcW w:w="1409"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1321" w:type="dxa"/>
            <w:vMerge w:val="continue"/>
            <w:vAlign w:val="center"/>
          </w:tcPr>
          <w:p>
            <w:pPr>
              <w:jc w:val="center"/>
              <w:rPr>
                <w:rFonts w:hint="default" w:ascii="Times New Roman" w:hAnsi="Times New Roman" w:eastAsia="仿宋_GB2312" w:cs="Times New Roman"/>
                <w:sz w:val="24"/>
                <w:highlight w:val="none"/>
              </w:rPr>
            </w:pPr>
          </w:p>
        </w:tc>
        <w:tc>
          <w:tcPr>
            <w:tcW w:w="495" w:type="dxa"/>
            <w:vMerge w:val="continue"/>
            <w:vAlign w:val="center"/>
          </w:tcPr>
          <w:p>
            <w:pPr>
              <w:jc w:val="center"/>
              <w:rPr>
                <w:rFonts w:hint="default" w:ascii="Times New Roman" w:hAnsi="Times New Roman" w:eastAsia="仿宋_GB2312" w:cs="Times New Roman"/>
                <w:sz w:val="24"/>
                <w:highlight w:val="none"/>
              </w:rPr>
            </w:pPr>
          </w:p>
        </w:tc>
        <w:tc>
          <w:tcPr>
            <w:tcW w:w="960" w:type="dxa"/>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水浇地</w:t>
            </w:r>
          </w:p>
        </w:tc>
        <w:tc>
          <w:tcPr>
            <w:tcW w:w="1018"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2.8007</w:t>
            </w:r>
          </w:p>
        </w:tc>
        <w:tc>
          <w:tcPr>
            <w:tcW w:w="99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120</w:t>
            </w:r>
          </w:p>
        </w:tc>
        <w:tc>
          <w:tcPr>
            <w:tcW w:w="116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366.084</w:t>
            </w:r>
          </w:p>
        </w:tc>
        <w:tc>
          <w:tcPr>
            <w:tcW w:w="99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120</w:t>
            </w:r>
          </w:p>
        </w:tc>
        <w:tc>
          <w:tcPr>
            <w:tcW w:w="110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366.084</w:t>
            </w:r>
          </w:p>
        </w:tc>
        <w:tc>
          <w:tcPr>
            <w:tcW w:w="1409"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672.168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1321" w:type="dxa"/>
            <w:vMerge w:val="continue"/>
            <w:vAlign w:val="center"/>
          </w:tcPr>
          <w:p>
            <w:pPr>
              <w:jc w:val="center"/>
              <w:rPr>
                <w:rFonts w:hint="default" w:ascii="Times New Roman" w:hAnsi="Times New Roman" w:eastAsia="仿宋_GB2312" w:cs="Times New Roman"/>
                <w:sz w:val="24"/>
                <w:highlight w:val="none"/>
              </w:rPr>
            </w:pPr>
          </w:p>
        </w:tc>
        <w:tc>
          <w:tcPr>
            <w:tcW w:w="495" w:type="dxa"/>
            <w:vMerge w:val="continue"/>
            <w:vAlign w:val="center"/>
          </w:tcPr>
          <w:p>
            <w:pPr>
              <w:jc w:val="center"/>
              <w:rPr>
                <w:rFonts w:hint="default" w:ascii="Times New Roman" w:hAnsi="Times New Roman" w:eastAsia="仿宋_GB2312" w:cs="Times New Roman"/>
                <w:sz w:val="24"/>
                <w:highlight w:val="none"/>
              </w:rPr>
            </w:pPr>
          </w:p>
        </w:tc>
        <w:tc>
          <w:tcPr>
            <w:tcW w:w="960" w:type="dxa"/>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旱地</w:t>
            </w:r>
          </w:p>
        </w:tc>
        <w:tc>
          <w:tcPr>
            <w:tcW w:w="1018"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c>
          <w:tcPr>
            <w:tcW w:w="99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120</w:t>
            </w:r>
          </w:p>
        </w:tc>
        <w:tc>
          <w:tcPr>
            <w:tcW w:w="116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c>
          <w:tcPr>
            <w:tcW w:w="99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120</w:t>
            </w:r>
          </w:p>
        </w:tc>
        <w:tc>
          <w:tcPr>
            <w:tcW w:w="110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c>
          <w:tcPr>
            <w:tcW w:w="1409"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1321" w:type="dxa"/>
            <w:vMerge w:val="continue"/>
            <w:vAlign w:val="center"/>
          </w:tcPr>
          <w:p>
            <w:pPr>
              <w:jc w:val="center"/>
              <w:rPr>
                <w:rFonts w:hint="default" w:ascii="Times New Roman" w:hAnsi="Times New Roman" w:eastAsia="仿宋_GB2312" w:cs="Times New Roman"/>
                <w:sz w:val="24"/>
                <w:highlight w:val="none"/>
              </w:rPr>
            </w:pPr>
          </w:p>
        </w:tc>
        <w:tc>
          <w:tcPr>
            <w:tcW w:w="1455" w:type="dxa"/>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园地</w:t>
            </w:r>
          </w:p>
        </w:tc>
        <w:tc>
          <w:tcPr>
            <w:tcW w:w="1018"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8.9209</w:t>
            </w:r>
          </w:p>
        </w:tc>
        <w:tc>
          <w:tcPr>
            <w:tcW w:w="99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120</w:t>
            </w:r>
          </w:p>
        </w:tc>
        <w:tc>
          <w:tcPr>
            <w:tcW w:w="116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1070.508</w:t>
            </w:r>
          </w:p>
        </w:tc>
        <w:tc>
          <w:tcPr>
            <w:tcW w:w="99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120</w:t>
            </w:r>
          </w:p>
        </w:tc>
        <w:tc>
          <w:tcPr>
            <w:tcW w:w="110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1070.508</w:t>
            </w:r>
          </w:p>
        </w:tc>
        <w:tc>
          <w:tcPr>
            <w:tcW w:w="1409"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2141.016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1321" w:type="dxa"/>
            <w:vMerge w:val="continue"/>
            <w:vAlign w:val="center"/>
          </w:tcPr>
          <w:p>
            <w:pPr>
              <w:jc w:val="center"/>
              <w:rPr>
                <w:rFonts w:hint="default" w:ascii="Times New Roman" w:hAnsi="Times New Roman" w:eastAsia="仿宋_GB2312" w:cs="Times New Roman"/>
                <w:sz w:val="24"/>
                <w:highlight w:val="none"/>
              </w:rPr>
            </w:pPr>
          </w:p>
        </w:tc>
        <w:tc>
          <w:tcPr>
            <w:tcW w:w="1455" w:type="dxa"/>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林地</w:t>
            </w:r>
          </w:p>
        </w:tc>
        <w:tc>
          <w:tcPr>
            <w:tcW w:w="1018"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2.3471</w:t>
            </w:r>
          </w:p>
        </w:tc>
        <w:tc>
          <w:tcPr>
            <w:tcW w:w="99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120</w:t>
            </w:r>
          </w:p>
        </w:tc>
        <w:tc>
          <w:tcPr>
            <w:tcW w:w="116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281.652</w:t>
            </w:r>
          </w:p>
        </w:tc>
        <w:tc>
          <w:tcPr>
            <w:tcW w:w="99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120</w:t>
            </w:r>
          </w:p>
        </w:tc>
        <w:tc>
          <w:tcPr>
            <w:tcW w:w="110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281.652</w:t>
            </w:r>
          </w:p>
        </w:tc>
        <w:tc>
          <w:tcPr>
            <w:tcW w:w="1409"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563.304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1321" w:type="dxa"/>
            <w:vMerge w:val="continue"/>
            <w:vAlign w:val="center"/>
          </w:tcPr>
          <w:p>
            <w:pPr>
              <w:jc w:val="center"/>
              <w:rPr>
                <w:rFonts w:hint="default" w:ascii="Times New Roman" w:hAnsi="Times New Roman" w:eastAsia="仿宋_GB2312" w:cs="Times New Roman"/>
                <w:sz w:val="24"/>
                <w:highlight w:val="none"/>
              </w:rPr>
            </w:pPr>
          </w:p>
        </w:tc>
        <w:tc>
          <w:tcPr>
            <w:tcW w:w="1455" w:type="dxa"/>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其他农用地</w:t>
            </w:r>
          </w:p>
        </w:tc>
        <w:tc>
          <w:tcPr>
            <w:tcW w:w="1018"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0.677</w:t>
            </w:r>
          </w:p>
        </w:tc>
        <w:tc>
          <w:tcPr>
            <w:tcW w:w="99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120</w:t>
            </w:r>
          </w:p>
        </w:tc>
        <w:tc>
          <w:tcPr>
            <w:tcW w:w="116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81.24</w:t>
            </w:r>
          </w:p>
        </w:tc>
        <w:tc>
          <w:tcPr>
            <w:tcW w:w="994" w:type="dxa"/>
            <w:tcBorders>
              <w:bottom w:val="single" w:color="auto" w:sz="4" w:space="0"/>
            </w:tcBorders>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120</w:t>
            </w:r>
          </w:p>
        </w:tc>
        <w:tc>
          <w:tcPr>
            <w:tcW w:w="1103" w:type="dxa"/>
            <w:tcBorders>
              <w:bottom w:val="single" w:color="auto" w:sz="4" w:space="0"/>
            </w:tcBorders>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81.24</w:t>
            </w:r>
          </w:p>
        </w:tc>
        <w:tc>
          <w:tcPr>
            <w:tcW w:w="1409"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162.48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1321" w:type="dxa"/>
            <w:vMerge w:val="continue"/>
            <w:vAlign w:val="center"/>
          </w:tcPr>
          <w:p>
            <w:pPr>
              <w:jc w:val="center"/>
              <w:rPr>
                <w:rFonts w:hint="default" w:ascii="Times New Roman" w:hAnsi="Times New Roman" w:eastAsia="仿宋_GB2312" w:cs="Times New Roman"/>
                <w:sz w:val="24"/>
                <w:highlight w:val="none"/>
              </w:rPr>
            </w:pPr>
          </w:p>
        </w:tc>
        <w:tc>
          <w:tcPr>
            <w:tcW w:w="1455" w:type="dxa"/>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建设用地</w:t>
            </w:r>
          </w:p>
        </w:tc>
        <w:tc>
          <w:tcPr>
            <w:tcW w:w="1018"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0.8524</w:t>
            </w:r>
          </w:p>
        </w:tc>
        <w:tc>
          <w:tcPr>
            <w:tcW w:w="99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240</w:t>
            </w:r>
          </w:p>
        </w:tc>
        <w:tc>
          <w:tcPr>
            <w:tcW w:w="116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204.576</w:t>
            </w:r>
          </w:p>
        </w:tc>
        <w:tc>
          <w:tcPr>
            <w:tcW w:w="994" w:type="dxa"/>
            <w:tcBorders>
              <w:bottom w:val="single" w:color="auto" w:sz="4" w:space="0"/>
              <w:tl2br w:val="single" w:color="auto" w:sz="4" w:space="0"/>
              <w:tr2bl w:val="nil"/>
            </w:tcBorders>
            <w:vAlign w:val="center"/>
          </w:tcPr>
          <w:p>
            <w:pPr>
              <w:jc w:val="center"/>
              <w:rPr>
                <w:rFonts w:hint="default" w:cs="Times New Roman" w:eastAsiaTheme="minorEastAsia"/>
                <w:szCs w:val="21"/>
                <w:highlight w:val="none"/>
                <w:lang w:val="en-US" w:eastAsia="zh-CN"/>
              </w:rPr>
            </w:pPr>
          </w:p>
        </w:tc>
        <w:tc>
          <w:tcPr>
            <w:tcW w:w="1103" w:type="dxa"/>
            <w:tcBorders>
              <w:bottom w:val="single" w:color="auto" w:sz="4" w:space="0"/>
              <w:tl2br w:val="single" w:color="auto" w:sz="4" w:space="0"/>
              <w:tr2bl w:val="nil"/>
            </w:tcBorders>
            <w:vAlign w:val="center"/>
          </w:tcPr>
          <w:p>
            <w:pPr>
              <w:jc w:val="center"/>
              <w:rPr>
                <w:rFonts w:hint="default" w:cs="Times New Roman" w:eastAsiaTheme="minorEastAsia"/>
                <w:szCs w:val="21"/>
                <w:highlight w:val="none"/>
                <w:lang w:val="en-US" w:eastAsia="zh-CN"/>
              </w:rPr>
            </w:pPr>
          </w:p>
        </w:tc>
        <w:tc>
          <w:tcPr>
            <w:tcW w:w="1409"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204.576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1321" w:type="dxa"/>
            <w:vMerge w:val="continue"/>
            <w:vAlign w:val="center"/>
          </w:tcPr>
          <w:p>
            <w:pPr>
              <w:jc w:val="center"/>
              <w:rPr>
                <w:rFonts w:hint="default" w:ascii="Times New Roman" w:hAnsi="Times New Roman" w:eastAsia="仿宋_GB2312" w:cs="Times New Roman"/>
                <w:sz w:val="24"/>
                <w:highlight w:val="none"/>
              </w:rPr>
            </w:pPr>
          </w:p>
        </w:tc>
        <w:tc>
          <w:tcPr>
            <w:tcW w:w="1455" w:type="dxa"/>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未利用地</w:t>
            </w:r>
          </w:p>
        </w:tc>
        <w:tc>
          <w:tcPr>
            <w:tcW w:w="1018"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1.1084</w:t>
            </w:r>
          </w:p>
        </w:tc>
        <w:tc>
          <w:tcPr>
            <w:tcW w:w="99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240</w:t>
            </w:r>
          </w:p>
        </w:tc>
        <w:tc>
          <w:tcPr>
            <w:tcW w:w="116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266.016</w:t>
            </w:r>
          </w:p>
        </w:tc>
        <w:tc>
          <w:tcPr>
            <w:tcW w:w="994" w:type="dxa"/>
            <w:tcBorders>
              <w:tl2br w:val="single" w:color="auto" w:sz="4" w:space="0"/>
              <w:tr2bl w:val="nil"/>
            </w:tcBorders>
            <w:vAlign w:val="center"/>
          </w:tcPr>
          <w:p>
            <w:pPr>
              <w:jc w:val="center"/>
              <w:rPr>
                <w:rFonts w:hint="default" w:cs="Times New Roman" w:eastAsiaTheme="minorEastAsia"/>
                <w:szCs w:val="21"/>
                <w:highlight w:val="none"/>
                <w:lang w:val="en-US" w:eastAsia="zh-CN"/>
              </w:rPr>
            </w:pPr>
          </w:p>
        </w:tc>
        <w:tc>
          <w:tcPr>
            <w:tcW w:w="1103" w:type="dxa"/>
            <w:tcBorders>
              <w:tl2br w:val="single" w:color="auto" w:sz="4" w:space="0"/>
              <w:tr2bl w:val="nil"/>
            </w:tcBorders>
            <w:vAlign w:val="center"/>
          </w:tcPr>
          <w:p>
            <w:pPr>
              <w:jc w:val="center"/>
              <w:rPr>
                <w:rFonts w:hint="default" w:cs="Times New Roman" w:eastAsiaTheme="minorEastAsia"/>
                <w:szCs w:val="21"/>
                <w:highlight w:val="none"/>
                <w:lang w:val="en-US" w:eastAsia="zh-CN"/>
              </w:rPr>
            </w:pPr>
          </w:p>
        </w:tc>
        <w:tc>
          <w:tcPr>
            <w:tcW w:w="1409"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266.016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1321" w:type="dxa"/>
            <w:vMerge w:val="continue"/>
            <w:vAlign w:val="center"/>
          </w:tcPr>
          <w:p>
            <w:pPr>
              <w:jc w:val="center"/>
              <w:rPr>
                <w:rFonts w:hint="default" w:ascii="Times New Roman" w:hAnsi="Times New Roman" w:eastAsia="仿宋_GB2312" w:cs="Times New Roman"/>
                <w:sz w:val="24"/>
                <w:highlight w:val="none"/>
              </w:rPr>
            </w:pPr>
          </w:p>
        </w:tc>
        <w:tc>
          <w:tcPr>
            <w:tcW w:w="6725" w:type="dxa"/>
            <w:gridSpan w:val="7"/>
            <w:vAlign w:val="center"/>
          </w:tcPr>
          <w:p>
            <w:pPr>
              <w:jc w:val="center"/>
              <w:rPr>
                <w:rFonts w:hint="default" w:ascii="Times New Roman" w:hAnsi="Times New Roman" w:cs="Times New Roman" w:eastAsiaTheme="minorEastAsia"/>
                <w:szCs w:val="21"/>
                <w:highlight w:val="none"/>
              </w:rPr>
            </w:pPr>
            <w:r>
              <w:rPr>
                <w:rFonts w:hint="default" w:ascii="Times New Roman" w:hAnsi="Times New Roman" w:eastAsia="仿宋_GB2312" w:cs="Times New Roman"/>
                <w:sz w:val="24"/>
                <w:highlight w:val="none"/>
              </w:rPr>
              <w:t>土地补偿费与安置补助费合计</w:t>
            </w:r>
          </w:p>
        </w:tc>
        <w:tc>
          <w:tcPr>
            <w:tcW w:w="1409" w:type="dxa"/>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highlight w:val="none"/>
                <w:lang w:val="en-US" w:eastAsia="zh-CN"/>
              </w:rPr>
            </w:pPr>
            <w:r>
              <w:rPr>
                <w:rFonts w:hint="eastAsia" w:cs="Times New Roman" w:eastAsiaTheme="minorEastAsia"/>
                <w:szCs w:val="21"/>
                <w:highlight w:val="none"/>
                <w:lang w:val="en-US" w:eastAsia="zh-CN"/>
              </w:rPr>
              <w:t>4009.56</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spacing w:line="620" w:lineRule="exact"/>
        <w:jc w:val="center"/>
        <w:rPr>
          <w:rFonts w:hint="default" w:ascii="Times New Roman" w:hAnsi="Times New Roman" w:eastAsia="方正小标宋简体" w:cs="Times New Roman"/>
          <w:sz w:val="32"/>
          <w:szCs w:val="32"/>
          <w:highlight w:val="none"/>
        </w:rPr>
      </w:pPr>
      <w:r>
        <w:rPr>
          <w:rFonts w:hint="default" w:ascii="Times New Roman" w:hAnsi="Times New Roman" w:eastAsia="方正小标宋简体" w:cs="Times New Roman"/>
          <w:sz w:val="32"/>
          <w:szCs w:val="32"/>
          <w:highlight w:val="none"/>
        </w:rPr>
        <w:t>土地补偿费与安置补助费一览表（</w:t>
      </w:r>
      <w:r>
        <w:rPr>
          <w:rFonts w:hint="eastAsia" w:eastAsia="方正小标宋简体" w:cs="Times New Roman"/>
          <w:sz w:val="32"/>
          <w:szCs w:val="32"/>
          <w:highlight w:val="none"/>
          <w:lang w:eastAsia="zh-CN"/>
        </w:rPr>
        <w:t>四</w:t>
      </w:r>
      <w:r>
        <w:rPr>
          <w:rFonts w:hint="default" w:ascii="Times New Roman" w:hAnsi="Times New Roman" w:eastAsia="方正小标宋简体" w:cs="Times New Roman"/>
          <w:sz w:val="32"/>
          <w:szCs w:val="32"/>
          <w:highlight w:val="none"/>
        </w:rPr>
        <w:t>）</w:t>
      </w:r>
    </w:p>
    <w:p>
      <w:pPr>
        <w:spacing w:line="620" w:lineRule="exact"/>
        <w:jc w:val="righ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24"/>
          <w:highlight w:val="none"/>
        </w:rPr>
        <w:t>（单位：公顷、万元/公顷、万元）</w:t>
      </w:r>
    </w:p>
    <w:tbl>
      <w:tblPr>
        <w:tblStyle w:val="7"/>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1"/>
        <w:gridCol w:w="495"/>
        <w:gridCol w:w="960"/>
        <w:gridCol w:w="1018"/>
        <w:gridCol w:w="992"/>
        <w:gridCol w:w="1163"/>
        <w:gridCol w:w="994"/>
        <w:gridCol w:w="1103"/>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1" w:type="dxa"/>
            <w:vMerge w:val="restart"/>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单位</w:t>
            </w:r>
          </w:p>
        </w:tc>
        <w:tc>
          <w:tcPr>
            <w:tcW w:w="1455" w:type="dxa"/>
            <w:gridSpan w:val="2"/>
            <w:vMerge w:val="restart"/>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土地类别</w:t>
            </w:r>
          </w:p>
        </w:tc>
        <w:tc>
          <w:tcPr>
            <w:tcW w:w="1018" w:type="dxa"/>
            <w:vMerge w:val="restart"/>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面积</w:t>
            </w:r>
          </w:p>
        </w:tc>
        <w:tc>
          <w:tcPr>
            <w:tcW w:w="2155" w:type="dxa"/>
            <w:gridSpan w:val="2"/>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土地补偿费</w:t>
            </w:r>
          </w:p>
        </w:tc>
        <w:tc>
          <w:tcPr>
            <w:tcW w:w="2097" w:type="dxa"/>
            <w:gridSpan w:val="2"/>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安置补助费</w:t>
            </w:r>
          </w:p>
        </w:tc>
        <w:tc>
          <w:tcPr>
            <w:tcW w:w="1409" w:type="dxa"/>
            <w:tcBorders>
              <w:bottom w:val="single" w:color="auto" w:sz="4" w:space="0"/>
            </w:tcBorders>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1" w:type="dxa"/>
            <w:vMerge w:val="continue"/>
            <w:vAlign w:val="center"/>
          </w:tcPr>
          <w:p>
            <w:pPr>
              <w:jc w:val="center"/>
              <w:rPr>
                <w:rFonts w:hint="default" w:ascii="Times New Roman" w:hAnsi="Times New Roman" w:eastAsia="仿宋_GB2312" w:cs="Times New Roman"/>
                <w:b/>
                <w:bCs/>
                <w:sz w:val="24"/>
                <w:highlight w:val="none"/>
              </w:rPr>
            </w:pPr>
          </w:p>
        </w:tc>
        <w:tc>
          <w:tcPr>
            <w:tcW w:w="1455" w:type="dxa"/>
            <w:gridSpan w:val="2"/>
            <w:vMerge w:val="continue"/>
            <w:vAlign w:val="center"/>
          </w:tcPr>
          <w:p>
            <w:pPr>
              <w:jc w:val="center"/>
              <w:rPr>
                <w:rFonts w:hint="default" w:ascii="Times New Roman" w:hAnsi="Times New Roman" w:eastAsia="仿宋_GB2312" w:cs="Times New Roman"/>
                <w:b/>
                <w:bCs/>
                <w:sz w:val="24"/>
                <w:highlight w:val="none"/>
              </w:rPr>
            </w:pPr>
          </w:p>
        </w:tc>
        <w:tc>
          <w:tcPr>
            <w:tcW w:w="1018" w:type="dxa"/>
            <w:vMerge w:val="continue"/>
            <w:vAlign w:val="center"/>
          </w:tcPr>
          <w:p>
            <w:pPr>
              <w:jc w:val="center"/>
              <w:rPr>
                <w:rFonts w:hint="default" w:ascii="Times New Roman" w:hAnsi="Times New Roman" w:eastAsia="仿宋_GB2312" w:cs="Times New Roman"/>
                <w:b/>
                <w:bCs/>
                <w:sz w:val="24"/>
                <w:highlight w:val="none"/>
              </w:rPr>
            </w:pPr>
          </w:p>
        </w:tc>
        <w:tc>
          <w:tcPr>
            <w:tcW w:w="992" w:type="dxa"/>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补偿</w:t>
            </w:r>
          </w:p>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标准</w:t>
            </w:r>
          </w:p>
        </w:tc>
        <w:tc>
          <w:tcPr>
            <w:tcW w:w="1163" w:type="dxa"/>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补偿</w:t>
            </w:r>
          </w:p>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金额</w:t>
            </w:r>
          </w:p>
        </w:tc>
        <w:tc>
          <w:tcPr>
            <w:tcW w:w="994" w:type="dxa"/>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补助</w:t>
            </w:r>
          </w:p>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标准</w:t>
            </w:r>
          </w:p>
        </w:tc>
        <w:tc>
          <w:tcPr>
            <w:tcW w:w="1103" w:type="dxa"/>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补助</w:t>
            </w:r>
          </w:p>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金额</w:t>
            </w:r>
          </w:p>
        </w:tc>
        <w:tc>
          <w:tcPr>
            <w:tcW w:w="1409" w:type="dxa"/>
            <w:tcBorders>
              <w:tl2br w:val="single" w:color="auto" w:sz="4" w:space="0"/>
              <w:tr2bl w:val="nil"/>
            </w:tcBorders>
            <w:vAlign w:val="center"/>
          </w:tcPr>
          <w:p>
            <w:pPr>
              <w:jc w:val="center"/>
              <w:rPr>
                <w:rFonts w:hint="default" w:ascii="Times New Roman" w:hAnsi="Times New Roman" w:eastAsia="仿宋_GB2312" w:cs="Times New Roman"/>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321" w:type="dxa"/>
            <w:vMerge w:val="restart"/>
            <w:vAlign w:val="center"/>
          </w:tcPr>
          <w:p>
            <w:pPr>
              <w:widowControl/>
              <w:jc w:val="distribute"/>
              <w:textAlignment w:val="center"/>
              <w:rPr>
                <w:rFonts w:hint="eastAsia" w:ascii="Times New Roman" w:hAnsi="Times New Roman" w:eastAsia="仿宋_GB2312" w:cs="Times New Roman"/>
                <w:sz w:val="24"/>
                <w:highlight w:val="none"/>
                <w:lang w:val="en-US" w:eastAsia="zh-CN"/>
              </w:rPr>
            </w:pPr>
            <w:r>
              <w:rPr>
                <w:rFonts w:hint="default" w:ascii="Times New Roman" w:hAnsi="Times New Roman" w:eastAsia="仿宋_GB2312" w:cs="Times New Roman"/>
                <w:sz w:val="24"/>
                <w:highlight w:val="none"/>
              </w:rPr>
              <w:t>广州市花都区花东镇</w:t>
            </w:r>
            <w:r>
              <w:rPr>
                <w:rFonts w:hint="eastAsia" w:ascii="Times New Roman" w:hAnsi="Times New Roman" w:eastAsia="仿宋_GB2312" w:cs="Times New Roman"/>
                <w:sz w:val="24"/>
                <w:highlight w:val="none"/>
                <w:lang w:val="en-US" w:eastAsia="zh-CN"/>
              </w:rPr>
              <w:t>九一经济联合社</w:t>
            </w:r>
          </w:p>
          <w:p>
            <w:pPr>
              <w:widowControl/>
              <w:jc w:val="distribute"/>
              <w:textAlignment w:val="center"/>
              <w:rPr>
                <w:rFonts w:hint="eastAsia" w:ascii="Times New Roman" w:hAnsi="Times New Roman" w:eastAsia="仿宋_GB2312" w:cs="Times New Roman"/>
                <w:sz w:val="24"/>
                <w:highlight w:val="none"/>
                <w:lang w:eastAsia="zh-CN"/>
              </w:rPr>
            </w:pPr>
            <w:r>
              <w:rPr>
                <w:rFonts w:hint="eastAsia" w:eastAsia="仿宋_GB2312" w:cs="Times New Roman"/>
                <w:sz w:val="24"/>
                <w:highlight w:val="none"/>
                <w:lang w:val="en-US" w:eastAsia="zh-CN"/>
              </w:rPr>
              <w:t>（机场控制区内）</w:t>
            </w:r>
          </w:p>
        </w:tc>
        <w:tc>
          <w:tcPr>
            <w:tcW w:w="495" w:type="dxa"/>
            <w:vMerge w:val="restart"/>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耕地</w:t>
            </w:r>
          </w:p>
        </w:tc>
        <w:tc>
          <w:tcPr>
            <w:tcW w:w="960" w:type="dxa"/>
            <w:vAlign w:val="center"/>
          </w:tcPr>
          <w:p>
            <w:pPr>
              <w:jc w:val="center"/>
              <w:rPr>
                <w:rFonts w:hint="eastAsia"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rPr>
              <w:t>水</w:t>
            </w:r>
            <w:r>
              <w:rPr>
                <w:rFonts w:hint="eastAsia" w:eastAsia="仿宋_GB2312" w:cs="Times New Roman"/>
                <w:sz w:val="24"/>
                <w:highlight w:val="none"/>
                <w:lang w:eastAsia="zh-CN"/>
              </w:rPr>
              <w:t>田</w:t>
            </w:r>
          </w:p>
        </w:tc>
        <w:tc>
          <w:tcPr>
            <w:tcW w:w="1018"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c>
          <w:tcPr>
            <w:tcW w:w="99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120</w:t>
            </w:r>
          </w:p>
        </w:tc>
        <w:tc>
          <w:tcPr>
            <w:tcW w:w="116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c>
          <w:tcPr>
            <w:tcW w:w="99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120</w:t>
            </w:r>
          </w:p>
        </w:tc>
        <w:tc>
          <w:tcPr>
            <w:tcW w:w="110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c>
          <w:tcPr>
            <w:tcW w:w="1409"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321" w:type="dxa"/>
            <w:vMerge w:val="continue"/>
            <w:vAlign w:val="center"/>
          </w:tcPr>
          <w:p>
            <w:pPr>
              <w:jc w:val="center"/>
              <w:rPr>
                <w:rFonts w:hint="default" w:ascii="Times New Roman" w:hAnsi="Times New Roman" w:eastAsia="仿宋_GB2312" w:cs="Times New Roman"/>
                <w:sz w:val="24"/>
                <w:highlight w:val="none"/>
              </w:rPr>
            </w:pPr>
          </w:p>
        </w:tc>
        <w:tc>
          <w:tcPr>
            <w:tcW w:w="495" w:type="dxa"/>
            <w:vMerge w:val="continue"/>
            <w:vAlign w:val="center"/>
          </w:tcPr>
          <w:p>
            <w:pPr>
              <w:jc w:val="center"/>
              <w:rPr>
                <w:rFonts w:hint="default" w:ascii="Times New Roman" w:hAnsi="Times New Roman" w:eastAsia="仿宋_GB2312" w:cs="Times New Roman"/>
                <w:sz w:val="24"/>
                <w:highlight w:val="none"/>
              </w:rPr>
            </w:pPr>
          </w:p>
        </w:tc>
        <w:tc>
          <w:tcPr>
            <w:tcW w:w="960" w:type="dxa"/>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水浇地</w:t>
            </w:r>
          </w:p>
        </w:tc>
        <w:tc>
          <w:tcPr>
            <w:tcW w:w="1018"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1.0654</w:t>
            </w:r>
          </w:p>
        </w:tc>
        <w:tc>
          <w:tcPr>
            <w:tcW w:w="99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120</w:t>
            </w:r>
          </w:p>
        </w:tc>
        <w:tc>
          <w:tcPr>
            <w:tcW w:w="116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127.848</w:t>
            </w:r>
          </w:p>
        </w:tc>
        <w:tc>
          <w:tcPr>
            <w:tcW w:w="99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120</w:t>
            </w:r>
          </w:p>
        </w:tc>
        <w:tc>
          <w:tcPr>
            <w:tcW w:w="110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127.848</w:t>
            </w:r>
          </w:p>
        </w:tc>
        <w:tc>
          <w:tcPr>
            <w:tcW w:w="1409"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255.696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321" w:type="dxa"/>
            <w:vMerge w:val="continue"/>
            <w:vAlign w:val="center"/>
          </w:tcPr>
          <w:p>
            <w:pPr>
              <w:jc w:val="center"/>
              <w:rPr>
                <w:rFonts w:hint="default" w:ascii="Times New Roman" w:hAnsi="Times New Roman" w:eastAsia="仿宋_GB2312" w:cs="Times New Roman"/>
                <w:sz w:val="24"/>
                <w:highlight w:val="none"/>
              </w:rPr>
            </w:pPr>
          </w:p>
        </w:tc>
        <w:tc>
          <w:tcPr>
            <w:tcW w:w="495" w:type="dxa"/>
            <w:vMerge w:val="continue"/>
            <w:vAlign w:val="center"/>
          </w:tcPr>
          <w:p>
            <w:pPr>
              <w:jc w:val="center"/>
              <w:rPr>
                <w:rFonts w:hint="default" w:ascii="Times New Roman" w:hAnsi="Times New Roman" w:eastAsia="仿宋_GB2312" w:cs="Times New Roman"/>
                <w:sz w:val="24"/>
                <w:highlight w:val="none"/>
              </w:rPr>
            </w:pPr>
          </w:p>
        </w:tc>
        <w:tc>
          <w:tcPr>
            <w:tcW w:w="960" w:type="dxa"/>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旱地</w:t>
            </w:r>
          </w:p>
        </w:tc>
        <w:tc>
          <w:tcPr>
            <w:tcW w:w="1018"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c>
          <w:tcPr>
            <w:tcW w:w="99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120</w:t>
            </w:r>
          </w:p>
        </w:tc>
        <w:tc>
          <w:tcPr>
            <w:tcW w:w="116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c>
          <w:tcPr>
            <w:tcW w:w="99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120</w:t>
            </w:r>
          </w:p>
        </w:tc>
        <w:tc>
          <w:tcPr>
            <w:tcW w:w="110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c>
          <w:tcPr>
            <w:tcW w:w="1409"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321" w:type="dxa"/>
            <w:vMerge w:val="continue"/>
            <w:vAlign w:val="center"/>
          </w:tcPr>
          <w:p>
            <w:pPr>
              <w:jc w:val="center"/>
              <w:rPr>
                <w:rFonts w:hint="default" w:ascii="Times New Roman" w:hAnsi="Times New Roman" w:eastAsia="仿宋_GB2312" w:cs="Times New Roman"/>
                <w:sz w:val="24"/>
                <w:highlight w:val="none"/>
              </w:rPr>
            </w:pPr>
          </w:p>
        </w:tc>
        <w:tc>
          <w:tcPr>
            <w:tcW w:w="1455" w:type="dxa"/>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园地</w:t>
            </w:r>
          </w:p>
        </w:tc>
        <w:tc>
          <w:tcPr>
            <w:tcW w:w="1018"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0.01</w:t>
            </w:r>
          </w:p>
        </w:tc>
        <w:tc>
          <w:tcPr>
            <w:tcW w:w="99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120</w:t>
            </w:r>
          </w:p>
        </w:tc>
        <w:tc>
          <w:tcPr>
            <w:tcW w:w="116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1.2</w:t>
            </w:r>
          </w:p>
        </w:tc>
        <w:tc>
          <w:tcPr>
            <w:tcW w:w="99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120</w:t>
            </w:r>
          </w:p>
        </w:tc>
        <w:tc>
          <w:tcPr>
            <w:tcW w:w="110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1.2</w:t>
            </w:r>
          </w:p>
        </w:tc>
        <w:tc>
          <w:tcPr>
            <w:tcW w:w="1409"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321" w:type="dxa"/>
            <w:vMerge w:val="continue"/>
            <w:vAlign w:val="center"/>
          </w:tcPr>
          <w:p>
            <w:pPr>
              <w:jc w:val="center"/>
              <w:rPr>
                <w:rFonts w:hint="default" w:ascii="Times New Roman" w:hAnsi="Times New Roman" w:eastAsia="仿宋_GB2312" w:cs="Times New Roman"/>
                <w:sz w:val="24"/>
                <w:highlight w:val="none"/>
              </w:rPr>
            </w:pPr>
          </w:p>
        </w:tc>
        <w:tc>
          <w:tcPr>
            <w:tcW w:w="1455" w:type="dxa"/>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林地</w:t>
            </w:r>
          </w:p>
        </w:tc>
        <w:tc>
          <w:tcPr>
            <w:tcW w:w="1018"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c>
          <w:tcPr>
            <w:tcW w:w="99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120</w:t>
            </w:r>
          </w:p>
        </w:tc>
        <w:tc>
          <w:tcPr>
            <w:tcW w:w="116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c>
          <w:tcPr>
            <w:tcW w:w="99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120</w:t>
            </w:r>
          </w:p>
        </w:tc>
        <w:tc>
          <w:tcPr>
            <w:tcW w:w="110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c>
          <w:tcPr>
            <w:tcW w:w="1409"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321" w:type="dxa"/>
            <w:vMerge w:val="continue"/>
            <w:vAlign w:val="center"/>
          </w:tcPr>
          <w:p>
            <w:pPr>
              <w:jc w:val="center"/>
              <w:rPr>
                <w:rFonts w:hint="default" w:ascii="Times New Roman" w:hAnsi="Times New Roman" w:eastAsia="仿宋_GB2312" w:cs="Times New Roman"/>
                <w:sz w:val="24"/>
                <w:highlight w:val="none"/>
              </w:rPr>
            </w:pPr>
          </w:p>
        </w:tc>
        <w:tc>
          <w:tcPr>
            <w:tcW w:w="1455" w:type="dxa"/>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其他农用地</w:t>
            </w:r>
          </w:p>
        </w:tc>
        <w:tc>
          <w:tcPr>
            <w:tcW w:w="1018"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0.6097</w:t>
            </w:r>
          </w:p>
        </w:tc>
        <w:tc>
          <w:tcPr>
            <w:tcW w:w="99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120</w:t>
            </w:r>
          </w:p>
        </w:tc>
        <w:tc>
          <w:tcPr>
            <w:tcW w:w="116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73.164</w:t>
            </w:r>
          </w:p>
        </w:tc>
        <w:tc>
          <w:tcPr>
            <w:tcW w:w="994" w:type="dxa"/>
            <w:tcBorders>
              <w:bottom w:val="single" w:color="auto" w:sz="4" w:space="0"/>
            </w:tcBorders>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120</w:t>
            </w:r>
          </w:p>
        </w:tc>
        <w:tc>
          <w:tcPr>
            <w:tcW w:w="1103" w:type="dxa"/>
            <w:tcBorders>
              <w:bottom w:val="single" w:color="auto" w:sz="4" w:space="0"/>
            </w:tcBorders>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73.164</w:t>
            </w:r>
          </w:p>
        </w:tc>
        <w:tc>
          <w:tcPr>
            <w:tcW w:w="1409"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146.328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321" w:type="dxa"/>
            <w:vMerge w:val="continue"/>
            <w:vAlign w:val="center"/>
          </w:tcPr>
          <w:p>
            <w:pPr>
              <w:jc w:val="center"/>
              <w:rPr>
                <w:rFonts w:hint="default" w:ascii="Times New Roman" w:hAnsi="Times New Roman" w:eastAsia="仿宋_GB2312" w:cs="Times New Roman"/>
                <w:sz w:val="24"/>
                <w:highlight w:val="none"/>
              </w:rPr>
            </w:pPr>
          </w:p>
        </w:tc>
        <w:tc>
          <w:tcPr>
            <w:tcW w:w="1455" w:type="dxa"/>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建设用地</w:t>
            </w:r>
          </w:p>
        </w:tc>
        <w:tc>
          <w:tcPr>
            <w:tcW w:w="1018"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c>
          <w:tcPr>
            <w:tcW w:w="99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240</w:t>
            </w:r>
          </w:p>
        </w:tc>
        <w:tc>
          <w:tcPr>
            <w:tcW w:w="116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c>
          <w:tcPr>
            <w:tcW w:w="994" w:type="dxa"/>
            <w:tcBorders>
              <w:bottom w:val="single" w:color="auto" w:sz="4" w:space="0"/>
              <w:tl2br w:val="single" w:color="auto" w:sz="4" w:space="0"/>
              <w:tr2bl w:val="nil"/>
            </w:tcBorders>
            <w:vAlign w:val="center"/>
          </w:tcPr>
          <w:p>
            <w:pPr>
              <w:jc w:val="center"/>
              <w:rPr>
                <w:rFonts w:hint="default" w:cs="Times New Roman" w:eastAsiaTheme="minorEastAsia"/>
                <w:szCs w:val="21"/>
                <w:highlight w:val="none"/>
                <w:lang w:val="en-US" w:eastAsia="zh-CN"/>
              </w:rPr>
            </w:pPr>
          </w:p>
        </w:tc>
        <w:tc>
          <w:tcPr>
            <w:tcW w:w="1103" w:type="dxa"/>
            <w:tcBorders>
              <w:bottom w:val="single" w:color="auto" w:sz="4" w:space="0"/>
              <w:tl2br w:val="single" w:color="auto" w:sz="4" w:space="0"/>
              <w:tr2bl w:val="nil"/>
            </w:tcBorders>
            <w:vAlign w:val="center"/>
          </w:tcPr>
          <w:p>
            <w:pPr>
              <w:jc w:val="center"/>
              <w:rPr>
                <w:rFonts w:hint="default" w:cs="Times New Roman" w:eastAsiaTheme="minorEastAsia"/>
                <w:szCs w:val="21"/>
                <w:highlight w:val="none"/>
                <w:lang w:val="en-US" w:eastAsia="zh-CN"/>
              </w:rPr>
            </w:pPr>
          </w:p>
        </w:tc>
        <w:tc>
          <w:tcPr>
            <w:tcW w:w="1409"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321" w:type="dxa"/>
            <w:vMerge w:val="continue"/>
            <w:vAlign w:val="center"/>
          </w:tcPr>
          <w:p>
            <w:pPr>
              <w:jc w:val="center"/>
              <w:rPr>
                <w:rFonts w:hint="default" w:ascii="Times New Roman" w:hAnsi="Times New Roman" w:eastAsia="仿宋_GB2312" w:cs="Times New Roman"/>
                <w:sz w:val="24"/>
                <w:highlight w:val="none"/>
              </w:rPr>
            </w:pPr>
          </w:p>
        </w:tc>
        <w:tc>
          <w:tcPr>
            <w:tcW w:w="1455" w:type="dxa"/>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未利用地</w:t>
            </w:r>
          </w:p>
        </w:tc>
        <w:tc>
          <w:tcPr>
            <w:tcW w:w="1018"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c>
          <w:tcPr>
            <w:tcW w:w="99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240</w:t>
            </w:r>
          </w:p>
        </w:tc>
        <w:tc>
          <w:tcPr>
            <w:tcW w:w="116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c>
          <w:tcPr>
            <w:tcW w:w="994" w:type="dxa"/>
            <w:tcBorders>
              <w:tl2br w:val="single" w:color="auto" w:sz="4" w:space="0"/>
              <w:tr2bl w:val="nil"/>
            </w:tcBorders>
            <w:vAlign w:val="center"/>
          </w:tcPr>
          <w:p>
            <w:pPr>
              <w:jc w:val="center"/>
              <w:rPr>
                <w:rFonts w:hint="default" w:cs="Times New Roman" w:eastAsiaTheme="minorEastAsia"/>
                <w:szCs w:val="21"/>
                <w:highlight w:val="none"/>
                <w:lang w:val="en-US" w:eastAsia="zh-CN"/>
              </w:rPr>
            </w:pPr>
          </w:p>
        </w:tc>
        <w:tc>
          <w:tcPr>
            <w:tcW w:w="1103" w:type="dxa"/>
            <w:tcBorders>
              <w:tl2br w:val="single" w:color="auto" w:sz="4" w:space="0"/>
              <w:tr2bl w:val="nil"/>
            </w:tcBorders>
            <w:vAlign w:val="center"/>
          </w:tcPr>
          <w:p>
            <w:pPr>
              <w:jc w:val="center"/>
              <w:rPr>
                <w:rFonts w:hint="default" w:cs="Times New Roman" w:eastAsiaTheme="minorEastAsia"/>
                <w:szCs w:val="21"/>
                <w:highlight w:val="none"/>
                <w:lang w:val="en-US" w:eastAsia="zh-CN"/>
              </w:rPr>
            </w:pPr>
          </w:p>
        </w:tc>
        <w:tc>
          <w:tcPr>
            <w:tcW w:w="1409"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321" w:type="dxa"/>
            <w:vMerge w:val="continue"/>
            <w:vAlign w:val="center"/>
          </w:tcPr>
          <w:p>
            <w:pPr>
              <w:jc w:val="center"/>
              <w:rPr>
                <w:rFonts w:hint="default" w:ascii="Times New Roman" w:hAnsi="Times New Roman" w:eastAsia="仿宋_GB2312" w:cs="Times New Roman"/>
                <w:sz w:val="24"/>
                <w:highlight w:val="none"/>
              </w:rPr>
            </w:pPr>
          </w:p>
        </w:tc>
        <w:tc>
          <w:tcPr>
            <w:tcW w:w="6725" w:type="dxa"/>
            <w:gridSpan w:val="7"/>
            <w:vAlign w:val="center"/>
          </w:tcPr>
          <w:p>
            <w:pPr>
              <w:jc w:val="center"/>
              <w:rPr>
                <w:rFonts w:hint="default" w:ascii="Times New Roman" w:hAnsi="Times New Roman" w:cs="Times New Roman" w:eastAsiaTheme="minorEastAsia"/>
                <w:szCs w:val="21"/>
                <w:highlight w:val="none"/>
              </w:rPr>
            </w:pPr>
            <w:r>
              <w:rPr>
                <w:rFonts w:hint="default" w:ascii="Times New Roman" w:hAnsi="Times New Roman" w:eastAsia="仿宋_GB2312" w:cs="Times New Roman"/>
                <w:sz w:val="24"/>
                <w:highlight w:val="none"/>
              </w:rPr>
              <w:t>土地补偿费与安置补助费合计</w:t>
            </w:r>
          </w:p>
        </w:tc>
        <w:tc>
          <w:tcPr>
            <w:tcW w:w="1409" w:type="dxa"/>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highlight w:val="none"/>
                <w:lang w:val="en-US" w:eastAsia="zh-CN"/>
              </w:rPr>
            </w:pPr>
            <w:r>
              <w:rPr>
                <w:rFonts w:hint="eastAsia" w:cs="Times New Roman" w:eastAsiaTheme="minorEastAsia"/>
                <w:szCs w:val="21"/>
                <w:highlight w:val="none"/>
                <w:lang w:val="en-US" w:eastAsia="zh-CN"/>
              </w:rPr>
              <w:t>404.424</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小标宋简体" w:cs="Times New Roman"/>
          <w:sz w:val="32"/>
          <w:szCs w:val="32"/>
        </w:rPr>
      </w:pPr>
      <w:r>
        <w:rPr>
          <w:rFonts w:hint="default" w:ascii="Times New Roman" w:hAnsi="Times New Roman" w:eastAsia="仿宋_GB2312" w:cs="Times New Roman"/>
          <w:sz w:val="32"/>
          <w:szCs w:val="32"/>
        </w:rPr>
        <w:t>备注：因被征收土地的现状调查数据变化导致补偿金额调整的</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在支付补偿款时重新计算补偿金额并作出差额补足。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（二）青苗补偿费及地上附着物补偿费。征地范围内的青苗补偿费及地上附着物补偿费等其他补偿费用按</w:t>
      </w:r>
      <w:r>
        <w:rPr>
          <w:rFonts w:hint="default" w:ascii="Times New Roman" w:hAnsi="Times New Roman" w:eastAsia="仿宋_GB2312" w:cs="Times New Roman"/>
          <w:color w:val="000000" w:themeColor="text1"/>
          <w:sz w:val="32"/>
          <w:szCs w:val="32"/>
          <w14:textFill>
            <w14:solidFill>
              <w14:schemeClr w14:val="tx1"/>
            </w14:solidFill>
          </w14:textFill>
        </w:rPr>
        <w:t>《广州市人民政府办公厅关于印发广州市农民集体所有土地征收补偿试行办法的通知》（穗府办规〔2017〕10号）、《广州市花都区人民政府办公室印发花都区征地包干补偿工作方案的通知》(花府办〔2016〕12号）</w:t>
      </w:r>
      <w:r>
        <w:rPr>
          <w:rFonts w:hint="default" w:ascii="Times New Roman" w:hAnsi="Times New Roman" w:eastAsia="仿宋_GB2312" w:cs="Times New Roman"/>
          <w:sz w:val="32"/>
          <w:szCs w:val="32"/>
        </w:rPr>
        <w:t>等有关规定</w:t>
      </w:r>
      <w:r>
        <w:rPr>
          <w:rFonts w:hint="default" w:ascii="Times New Roman" w:hAnsi="Times New Roman" w:eastAsia="仿宋_GB2312" w:cs="Times New Roman"/>
          <w:sz w:val="32"/>
        </w:rPr>
        <w:t>进行补偿。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三）农业人口安置。本次征收土地所涉及的被安置农业人员由被征地村以货币补偿的形式安置。征地批复后，由被征地农村集体经济组织在征地公告期内到广州市规划和自然资源局花都区分局领取办理安置农业人口征地农转非手续的函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rPr>
      </w:pPr>
      <w:r>
        <w:rPr>
          <w:rFonts w:hint="default" w:ascii="Times New Roman" w:hAnsi="Times New Roman" w:eastAsia="黑体" w:cs="Times New Roman"/>
          <w:sz w:val="32"/>
        </w:rPr>
        <w:t>三、安置措施情况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sz w:val="32"/>
        </w:rPr>
        <w:t>为妥善安置被征地农民，切实解决被征地农民的生产生活出路。在保证货币安置落实的同时，我区根据</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eastAsia" w:eastAsia="仿宋_GB2312" w:cs="Times New Roman"/>
          <w:color w:val="000000" w:themeColor="text1"/>
          <w:sz w:val="32"/>
          <w:szCs w:val="32"/>
          <w:highlight w:val="none"/>
          <w:lang w:val="en-US" w:eastAsia="zh-CN"/>
          <w14:textFill>
            <w14:solidFill>
              <w14:schemeClr w14:val="tx1"/>
            </w14:solidFill>
          </w14:textFill>
        </w:rPr>
        <w:t>印发</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广东省征收农村集体土地留用地管理办法（试行）</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的通知</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》（粤府办〔2009〕41号）</w:t>
      </w:r>
      <w:r>
        <w:rPr>
          <w:rFonts w:hint="eastAsia"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auto"/>
          <w:sz w:val="32"/>
          <w:szCs w:val="32"/>
          <w:highlight w:val="none"/>
          <w:lang w:val="en-US" w:eastAsia="zh-CN"/>
        </w:rPr>
        <w:t>《广东省人民政府办公厅关于加强征收农村集体土地留用地安置管理工作的意见》（粤府办〔2016〕30号）和《广州市人民政府办公厅关于进一步加</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强征收农村集体土地留用地管理的意见》（穗府办规〔2018〕17号）的规定，</w:t>
      </w:r>
      <w:r>
        <w:rPr>
          <w:rFonts w:hint="default" w:ascii="Times New Roman" w:hAnsi="Times New Roman" w:eastAsia="仿宋_GB2312" w:cs="Times New Roman"/>
          <w:color w:val="000000" w:themeColor="text1"/>
          <w:sz w:val="32"/>
          <w:szCs w:val="32"/>
          <w14:textFill>
            <w14:solidFill>
              <w14:schemeClr w14:val="tx1"/>
            </w14:solidFill>
          </w14:textFill>
        </w:rPr>
        <w:t>已办理规划用地手续的留用地再次被政府征收的，按原抵扣留用地指标面积等量返还留用地指标。</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九一村留用地按实际征收土地面积的10%计算安排给被征地村集体，面积为0.1685公顷；</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对三凤村已取得用地批复（穗国房办字〔2013〕415号）的历史留用地拟按实际征收土地面积的100%比例安排，留用地面积为0.6575公顷，</w:t>
      </w:r>
      <w:r>
        <w:rPr>
          <w:rFonts w:hint="default" w:ascii="Times New Roman" w:hAnsi="Times New Roman" w:eastAsia="仿宋_GB2312" w:cs="Times New Roman"/>
          <w:sz w:val="32"/>
          <w:szCs w:val="32"/>
        </w:rPr>
        <w:t>剩余部分按实际征收土地面积的10%比例安排</w:t>
      </w:r>
      <w:r>
        <w:rPr>
          <w:rFonts w:hint="default" w:ascii="Times New Roman" w:hAnsi="Times New Roman" w:eastAsia="仿宋_GB2312" w:cs="Times New Roman"/>
          <w:sz w:val="32"/>
          <w:szCs w:val="32"/>
          <w:lang w:eastAsia="zh-CN"/>
        </w:rPr>
        <w:t>，留用地面积为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0.1025</w:t>
      </w:r>
      <w:r>
        <w:rPr>
          <w:rFonts w:hint="default" w:ascii="Times New Roman" w:hAnsi="Times New Roman" w:eastAsia="仿宋_GB2312" w:cs="Times New Roman"/>
          <w:sz w:val="32"/>
          <w:szCs w:val="32"/>
          <w:lang w:val="en-US" w:eastAsia="zh-CN"/>
        </w:rPr>
        <w:t>公顷，面积合计</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0.7600</w:t>
      </w:r>
      <w:r>
        <w:rPr>
          <w:rFonts w:hint="default" w:ascii="Times New Roman" w:hAnsi="Times New Roman" w:eastAsia="仿宋_GB2312" w:cs="Times New Roman"/>
          <w:sz w:val="32"/>
          <w:szCs w:val="32"/>
          <w:lang w:val="en-US" w:eastAsia="zh-CN"/>
        </w:rPr>
        <w:t>公顷；</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sz w:val="32"/>
          <w:szCs w:val="32"/>
        </w:rPr>
        <w:t>对</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山下村</w:t>
      </w:r>
      <w:r>
        <w:rPr>
          <w:rFonts w:hint="default" w:ascii="Times New Roman" w:hAnsi="Times New Roman" w:eastAsia="仿宋_GB2312" w:cs="Times New Roman"/>
          <w:sz w:val="32"/>
          <w:szCs w:val="32"/>
        </w:rPr>
        <w:t>已取得</w:t>
      </w:r>
      <w:r>
        <w:rPr>
          <w:rFonts w:hint="default" w:ascii="Times New Roman" w:hAnsi="Times New Roman" w:eastAsia="仿宋_GB2312" w:cs="Times New Roman"/>
          <w:sz w:val="32"/>
          <w:szCs w:val="32"/>
          <w:lang w:eastAsia="zh-CN"/>
        </w:rPr>
        <w:t>用地</w:t>
      </w:r>
      <w:r>
        <w:rPr>
          <w:rFonts w:hint="default" w:ascii="Times New Roman" w:hAnsi="Times New Roman" w:eastAsia="仿宋_GB2312" w:cs="Times New Roman"/>
          <w:sz w:val="32"/>
          <w:szCs w:val="32"/>
        </w:rPr>
        <w:t>批复（</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穗国房办字〔2013〕427号、花国房地批字〔1998〕第134、144号）</w:t>
      </w:r>
      <w:r>
        <w:rPr>
          <w:rFonts w:hint="default" w:ascii="Times New Roman" w:hAnsi="Times New Roman" w:eastAsia="仿宋_GB2312" w:cs="Times New Roman"/>
          <w:sz w:val="32"/>
          <w:szCs w:val="32"/>
        </w:rPr>
        <w:t>的</w:t>
      </w:r>
      <w:r>
        <w:rPr>
          <w:rFonts w:hint="default" w:ascii="Times New Roman" w:hAnsi="Times New Roman" w:eastAsia="仿宋_GB2312" w:cs="Times New Roman"/>
          <w:sz w:val="32"/>
          <w:szCs w:val="32"/>
          <w:lang w:eastAsia="zh-CN"/>
        </w:rPr>
        <w:t>历史留用</w:t>
      </w:r>
      <w:r>
        <w:rPr>
          <w:rFonts w:hint="default" w:ascii="Times New Roman" w:hAnsi="Times New Roman" w:eastAsia="仿宋_GB2312" w:cs="Times New Roman"/>
          <w:sz w:val="32"/>
          <w:szCs w:val="32"/>
        </w:rPr>
        <w:t>地</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拟按实际征收土地面积的100%比例安排，留用地面积为6.7915公顷，剩余部分按实际征收</w:t>
      </w:r>
      <w:r>
        <w:rPr>
          <w:rFonts w:hint="default" w:ascii="Times New Roman" w:hAnsi="Times New Roman" w:eastAsia="仿宋_GB2312" w:cs="Times New Roman"/>
          <w:sz w:val="32"/>
          <w:szCs w:val="32"/>
        </w:rPr>
        <w:t>土地面积的10%比例安排</w:t>
      </w:r>
      <w:r>
        <w:rPr>
          <w:rFonts w:hint="default" w:ascii="Times New Roman" w:hAnsi="Times New Roman" w:eastAsia="仿宋_GB2312" w:cs="Times New Roman"/>
          <w:sz w:val="32"/>
          <w:szCs w:val="32"/>
          <w:lang w:eastAsia="zh-CN"/>
        </w:rPr>
        <w:t>，留用地面积为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2.0158</w:t>
      </w:r>
      <w:r>
        <w:rPr>
          <w:rFonts w:hint="default" w:ascii="Times New Roman" w:hAnsi="Times New Roman" w:eastAsia="仿宋_GB2312" w:cs="Times New Roman"/>
          <w:sz w:val="32"/>
          <w:szCs w:val="32"/>
          <w:lang w:val="en-US" w:eastAsia="zh-CN"/>
        </w:rPr>
        <w:t>公顷，面积合计</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8.8073</w:t>
      </w:r>
      <w:r>
        <w:rPr>
          <w:rFonts w:hint="default" w:ascii="Times New Roman" w:hAnsi="Times New Roman" w:eastAsia="仿宋_GB2312" w:cs="Times New Roman"/>
          <w:sz w:val="32"/>
          <w:szCs w:val="32"/>
          <w:lang w:val="en-US" w:eastAsia="zh-CN"/>
        </w:rPr>
        <w:t>公顷；</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对南溪村已取得用地批复（穗国房办字〔2013〕427号、穗国房函〔2013〕1658号）的历史留用地拟按实际征收土地面积的100%比例安排，留用地面积为2.7110公顷，剩余部分按实际征收土地面积的10%比例安排，留用地面积为1.3996公顷，面积合计4.1106公顷</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sz w:val="32"/>
          <w:szCs w:val="32"/>
          <w:lang w:val="en-US" w:eastAsia="zh-CN"/>
        </w:rPr>
        <w:t>留用地</w:t>
      </w:r>
      <w:r>
        <w:rPr>
          <w:rFonts w:hint="default" w:ascii="Times New Roman" w:hAnsi="Times New Roman" w:eastAsia="仿宋_GB2312" w:cs="Times New Roman"/>
          <w:sz w:val="32"/>
          <w:szCs w:val="32"/>
        </w:rPr>
        <w:t>兑现方式</w:t>
      </w:r>
      <w:r>
        <w:rPr>
          <w:rFonts w:hint="eastAsia" w:ascii="Times New Roman" w:hAnsi="Times New Roman" w:eastAsia="仿宋_GB2312" w:cs="Times New Roman"/>
          <w:sz w:val="32"/>
          <w:szCs w:val="32"/>
          <w:lang w:eastAsia="zh-CN"/>
        </w:rPr>
        <w:t>均</w:t>
      </w:r>
      <w:r>
        <w:rPr>
          <w:rFonts w:hint="default" w:ascii="Times New Roman" w:hAnsi="Times New Roman" w:eastAsia="仿宋_GB2312" w:cs="Times New Roman"/>
          <w:sz w:val="32"/>
          <w:szCs w:val="32"/>
        </w:rPr>
        <w:t>为</w:t>
      </w:r>
      <w:r>
        <w:rPr>
          <w:rFonts w:hint="default" w:ascii="Times New Roman" w:hAnsi="Times New Roman" w:eastAsia="仿宋_GB2312" w:cs="Times New Roman"/>
          <w:sz w:val="32"/>
          <w:szCs w:val="32"/>
          <w:highlight w:val="none"/>
        </w:rPr>
        <w:t>实</w:t>
      </w:r>
      <w:r>
        <w:rPr>
          <w:rFonts w:hint="default" w:ascii="Times New Roman" w:hAnsi="Times New Roman" w:eastAsia="仿宋_GB2312" w:cs="Times New Roman"/>
          <w:sz w:val="32"/>
          <w:szCs w:val="32"/>
          <w:highlight w:val="none"/>
          <w:lang w:eastAsia="zh-CN"/>
        </w:rPr>
        <w:t>物</w:t>
      </w:r>
      <w:r>
        <w:rPr>
          <w:rFonts w:hint="default" w:ascii="Times New Roman" w:hAnsi="Times New Roman" w:eastAsia="仿宋_GB2312" w:cs="Times New Roman"/>
          <w:sz w:val="32"/>
          <w:szCs w:val="32"/>
          <w:highlight w:val="none"/>
        </w:rPr>
        <w:t>留地</w:t>
      </w:r>
      <w:r>
        <w:rPr>
          <w:rFonts w:hint="default"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eastAsia="zh-CN"/>
        </w:rPr>
        <w:t>其中九一村、三凤村留用地</w:t>
      </w:r>
      <w:r>
        <w:rPr>
          <w:rFonts w:hint="default" w:ascii="Times New Roman" w:hAnsi="Times New Roman" w:eastAsia="仿宋_GB2312" w:cs="Times New Roman"/>
          <w:sz w:val="32"/>
          <w:szCs w:val="32"/>
          <w:highlight w:val="none"/>
          <w:lang w:eastAsia="zh-CN"/>
        </w:rPr>
        <w:t>均</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拟在广州市花都区（空港经济区）2020年度第十批次城镇建设用地（机场北进场路东二地块）（粤府土审（02）〔2021〕15号）中安排落实</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；山下村留用地拟</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在</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广州空港经济区2018年度第五批次城镇建设用地（保税大道北一号地块）（粤府土审（02）〔2019〕9号）中</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安排落实</w:t>
      </w:r>
      <w:r>
        <w:rPr>
          <w:rFonts w:hint="eastAsia" w:eastAsia="仿宋_GB2312" w:cs="Times New Roman"/>
          <w:color w:val="000000" w:themeColor="text1"/>
          <w:sz w:val="32"/>
          <w:szCs w:val="32"/>
          <w:highlight w:val="none"/>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南溪村留用地</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拟在广州市花都区（空港经济区）2019年度第二十三批次城镇建设用地（保税大道南二号地块（地块一）（粤府土审（02）〔2021〕25号）中安排落实</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给上述被征地农民落实基本养老保障和培训就业等社会保障措施，确保被征地农民的原有生活水平不降低，长远生计有保障，具体将按省的征地社会保障实施方案办理。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广州市规划和自然资源局花都区分局</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26</w:t>
      </w:r>
      <w:r>
        <w:rPr>
          <w:rFonts w:hint="default" w:ascii="Times New Roman" w:hAnsi="Times New Roman" w:eastAsia="仿宋_GB2312" w:cs="Times New Roman"/>
          <w:sz w:val="32"/>
          <w:szCs w:val="32"/>
        </w:rPr>
        <w:t>日</w:t>
      </w:r>
    </w:p>
    <w:sectPr>
      <w:headerReference r:id="rId3" w:type="default"/>
      <w:footerReference r:id="rId4" w:type="default"/>
      <w:pgSz w:w="11906" w:h="16838"/>
      <w:pgMar w:top="1588" w:right="1474" w:bottom="1644" w:left="1418" w:header="851" w:footer="992" w:gutter="0"/>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64"/>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6F6"/>
    <w:rsid w:val="000158F3"/>
    <w:rsid w:val="000259EC"/>
    <w:rsid w:val="00046479"/>
    <w:rsid w:val="00083A9C"/>
    <w:rsid w:val="00094904"/>
    <w:rsid w:val="000B61A4"/>
    <w:rsid w:val="000C26E7"/>
    <w:rsid w:val="000C7A2F"/>
    <w:rsid w:val="00104D4A"/>
    <w:rsid w:val="00121551"/>
    <w:rsid w:val="00127188"/>
    <w:rsid w:val="0013451A"/>
    <w:rsid w:val="00143A6E"/>
    <w:rsid w:val="0015151A"/>
    <w:rsid w:val="00151ED8"/>
    <w:rsid w:val="00155629"/>
    <w:rsid w:val="00157041"/>
    <w:rsid w:val="00170253"/>
    <w:rsid w:val="00172A27"/>
    <w:rsid w:val="001823A7"/>
    <w:rsid w:val="001A443F"/>
    <w:rsid w:val="001B19A8"/>
    <w:rsid w:val="001D39AE"/>
    <w:rsid w:val="001D74FB"/>
    <w:rsid w:val="001E275D"/>
    <w:rsid w:val="001E6030"/>
    <w:rsid w:val="001F2286"/>
    <w:rsid w:val="0020176A"/>
    <w:rsid w:val="002073CC"/>
    <w:rsid w:val="00213FB1"/>
    <w:rsid w:val="00217E18"/>
    <w:rsid w:val="002274E7"/>
    <w:rsid w:val="00252E5A"/>
    <w:rsid w:val="002B5A34"/>
    <w:rsid w:val="003036B6"/>
    <w:rsid w:val="0032241B"/>
    <w:rsid w:val="00342F85"/>
    <w:rsid w:val="003436C7"/>
    <w:rsid w:val="003746AC"/>
    <w:rsid w:val="0038304F"/>
    <w:rsid w:val="003956C6"/>
    <w:rsid w:val="003D0024"/>
    <w:rsid w:val="003D163F"/>
    <w:rsid w:val="003D281A"/>
    <w:rsid w:val="00411A1B"/>
    <w:rsid w:val="00413DAF"/>
    <w:rsid w:val="0042456A"/>
    <w:rsid w:val="0044713F"/>
    <w:rsid w:val="00451E1D"/>
    <w:rsid w:val="00454AC2"/>
    <w:rsid w:val="004630A4"/>
    <w:rsid w:val="00476A81"/>
    <w:rsid w:val="00483A85"/>
    <w:rsid w:val="0048686E"/>
    <w:rsid w:val="004A0D3F"/>
    <w:rsid w:val="004B6BFF"/>
    <w:rsid w:val="004B6E2C"/>
    <w:rsid w:val="004D09C3"/>
    <w:rsid w:val="004D1919"/>
    <w:rsid w:val="004F100B"/>
    <w:rsid w:val="004F2328"/>
    <w:rsid w:val="005111FD"/>
    <w:rsid w:val="00521569"/>
    <w:rsid w:val="00522EF4"/>
    <w:rsid w:val="005271AE"/>
    <w:rsid w:val="005357A0"/>
    <w:rsid w:val="00544378"/>
    <w:rsid w:val="00545540"/>
    <w:rsid w:val="005743FE"/>
    <w:rsid w:val="005A4E49"/>
    <w:rsid w:val="005B3C61"/>
    <w:rsid w:val="005C19AC"/>
    <w:rsid w:val="005E0A5C"/>
    <w:rsid w:val="005F1581"/>
    <w:rsid w:val="005F1E27"/>
    <w:rsid w:val="005F46A1"/>
    <w:rsid w:val="005F5334"/>
    <w:rsid w:val="006024FC"/>
    <w:rsid w:val="006035D8"/>
    <w:rsid w:val="0060619B"/>
    <w:rsid w:val="00610A4A"/>
    <w:rsid w:val="00615CAA"/>
    <w:rsid w:val="006162A6"/>
    <w:rsid w:val="00637EED"/>
    <w:rsid w:val="006438DE"/>
    <w:rsid w:val="00645839"/>
    <w:rsid w:val="00652B87"/>
    <w:rsid w:val="00654C53"/>
    <w:rsid w:val="00655693"/>
    <w:rsid w:val="00674925"/>
    <w:rsid w:val="00676018"/>
    <w:rsid w:val="00676536"/>
    <w:rsid w:val="0068659F"/>
    <w:rsid w:val="00686873"/>
    <w:rsid w:val="00697B46"/>
    <w:rsid w:val="006A5D68"/>
    <w:rsid w:val="006D27A4"/>
    <w:rsid w:val="006E0E61"/>
    <w:rsid w:val="006F5C51"/>
    <w:rsid w:val="006F6507"/>
    <w:rsid w:val="007029A2"/>
    <w:rsid w:val="00721F51"/>
    <w:rsid w:val="00734336"/>
    <w:rsid w:val="007368D4"/>
    <w:rsid w:val="007717E7"/>
    <w:rsid w:val="00772F21"/>
    <w:rsid w:val="00781008"/>
    <w:rsid w:val="007852FE"/>
    <w:rsid w:val="00793BB2"/>
    <w:rsid w:val="007E14C5"/>
    <w:rsid w:val="007F15EB"/>
    <w:rsid w:val="00833C90"/>
    <w:rsid w:val="00844234"/>
    <w:rsid w:val="0086311C"/>
    <w:rsid w:val="00886363"/>
    <w:rsid w:val="008B134A"/>
    <w:rsid w:val="008C44D6"/>
    <w:rsid w:val="008D2B89"/>
    <w:rsid w:val="008D5037"/>
    <w:rsid w:val="008D6365"/>
    <w:rsid w:val="008E023E"/>
    <w:rsid w:val="008F76F1"/>
    <w:rsid w:val="008F7950"/>
    <w:rsid w:val="00941381"/>
    <w:rsid w:val="009E0C1F"/>
    <w:rsid w:val="00A0133D"/>
    <w:rsid w:val="00A16C08"/>
    <w:rsid w:val="00A2173B"/>
    <w:rsid w:val="00A27BF0"/>
    <w:rsid w:val="00A30967"/>
    <w:rsid w:val="00A3416A"/>
    <w:rsid w:val="00A42845"/>
    <w:rsid w:val="00A50A5B"/>
    <w:rsid w:val="00A61726"/>
    <w:rsid w:val="00A71A09"/>
    <w:rsid w:val="00AA4AB7"/>
    <w:rsid w:val="00AA655F"/>
    <w:rsid w:val="00AB03B9"/>
    <w:rsid w:val="00AD2D84"/>
    <w:rsid w:val="00AE7EB6"/>
    <w:rsid w:val="00B103D3"/>
    <w:rsid w:val="00B136A7"/>
    <w:rsid w:val="00B245BF"/>
    <w:rsid w:val="00B3449F"/>
    <w:rsid w:val="00B475F4"/>
    <w:rsid w:val="00B53A0D"/>
    <w:rsid w:val="00B67864"/>
    <w:rsid w:val="00B83780"/>
    <w:rsid w:val="00B84307"/>
    <w:rsid w:val="00B85200"/>
    <w:rsid w:val="00B9060C"/>
    <w:rsid w:val="00B96925"/>
    <w:rsid w:val="00BC56E0"/>
    <w:rsid w:val="00BC7F48"/>
    <w:rsid w:val="00BE7B0D"/>
    <w:rsid w:val="00BF60DE"/>
    <w:rsid w:val="00BF745D"/>
    <w:rsid w:val="00C128B0"/>
    <w:rsid w:val="00C1343F"/>
    <w:rsid w:val="00C34151"/>
    <w:rsid w:val="00C41E25"/>
    <w:rsid w:val="00C43BF5"/>
    <w:rsid w:val="00C52CC9"/>
    <w:rsid w:val="00C921A1"/>
    <w:rsid w:val="00C9338C"/>
    <w:rsid w:val="00CA0267"/>
    <w:rsid w:val="00CB5667"/>
    <w:rsid w:val="00CE3F2C"/>
    <w:rsid w:val="00CE7209"/>
    <w:rsid w:val="00CF5672"/>
    <w:rsid w:val="00CF7256"/>
    <w:rsid w:val="00D05CD6"/>
    <w:rsid w:val="00D17410"/>
    <w:rsid w:val="00D23ED9"/>
    <w:rsid w:val="00D56324"/>
    <w:rsid w:val="00D741E3"/>
    <w:rsid w:val="00D90775"/>
    <w:rsid w:val="00D91536"/>
    <w:rsid w:val="00D918FC"/>
    <w:rsid w:val="00DB78DD"/>
    <w:rsid w:val="00DD03E7"/>
    <w:rsid w:val="00E15F21"/>
    <w:rsid w:val="00E20365"/>
    <w:rsid w:val="00E35022"/>
    <w:rsid w:val="00E37310"/>
    <w:rsid w:val="00E44B2D"/>
    <w:rsid w:val="00E5270A"/>
    <w:rsid w:val="00E72163"/>
    <w:rsid w:val="00E84C41"/>
    <w:rsid w:val="00E95F11"/>
    <w:rsid w:val="00E962C5"/>
    <w:rsid w:val="00EA6195"/>
    <w:rsid w:val="00EC66ED"/>
    <w:rsid w:val="00ED2C7C"/>
    <w:rsid w:val="00ED41DB"/>
    <w:rsid w:val="00EE09F4"/>
    <w:rsid w:val="00EE43A2"/>
    <w:rsid w:val="00EE78EE"/>
    <w:rsid w:val="00F20D0F"/>
    <w:rsid w:val="00F244D5"/>
    <w:rsid w:val="00F35A4F"/>
    <w:rsid w:val="00F35D99"/>
    <w:rsid w:val="00F42F8F"/>
    <w:rsid w:val="00F47CC9"/>
    <w:rsid w:val="00F5072C"/>
    <w:rsid w:val="00F64688"/>
    <w:rsid w:val="00F650FD"/>
    <w:rsid w:val="00F66A72"/>
    <w:rsid w:val="00F76202"/>
    <w:rsid w:val="00F83B81"/>
    <w:rsid w:val="00F8405C"/>
    <w:rsid w:val="00F873F0"/>
    <w:rsid w:val="00FA553B"/>
    <w:rsid w:val="00FB13C2"/>
    <w:rsid w:val="00FB72BB"/>
    <w:rsid w:val="00FC22FF"/>
    <w:rsid w:val="00FC7708"/>
    <w:rsid w:val="00FE6F6C"/>
    <w:rsid w:val="00FE79A2"/>
    <w:rsid w:val="00FF17BE"/>
    <w:rsid w:val="01075173"/>
    <w:rsid w:val="013432E5"/>
    <w:rsid w:val="01B019F1"/>
    <w:rsid w:val="02507A15"/>
    <w:rsid w:val="037C3EFE"/>
    <w:rsid w:val="03B3639D"/>
    <w:rsid w:val="03E01FE4"/>
    <w:rsid w:val="047D565D"/>
    <w:rsid w:val="049E6B00"/>
    <w:rsid w:val="04F32489"/>
    <w:rsid w:val="065276E0"/>
    <w:rsid w:val="073B3F0E"/>
    <w:rsid w:val="07935908"/>
    <w:rsid w:val="07D05F59"/>
    <w:rsid w:val="07E822F8"/>
    <w:rsid w:val="086972E1"/>
    <w:rsid w:val="08836B81"/>
    <w:rsid w:val="08CB547B"/>
    <w:rsid w:val="090F783D"/>
    <w:rsid w:val="09373001"/>
    <w:rsid w:val="0ABE30AC"/>
    <w:rsid w:val="0ADB12D7"/>
    <w:rsid w:val="0B2369D4"/>
    <w:rsid w:val="0B67344D"/>
    <w:rsid w:val="0B906FBB"/>
    <w:rsid w:val="0C4869FB"/>
    <w:rsid w:val="0CF6147F"/>
    <w:rsid w:val="0D3D2B39"/>
    <w:rsid w:val="0D883683"/>
    <w:rsid w:val="0D891A7F"/>
    <w:rsid w:val="0DA6646E"/>
    <w:rsid w:val="0E28249F"/>
    <w:rsid w:val="0E364AD2"/>
    <w:rsid w:val="0E8B7A0A"/>
    <w:rsid w:val="0E8E79F1"/>
    <w:rsid w:val="0EA75528"/>
    <w:rsid w:val="0ED301F8"/>
    <w:rsid w:val="0F036D42"/>
    <w:rsid w:val="0F3963CE"/>
    <w:rsid w:val="0F7468AC"/>
    <w:rsid w:val="10BA18B5"/>
    <w:rsid w:val="11D36EE2"/>
    <w:rsid w:val="130A00AA"/>
    <w:rsid w:val="13E42AD2"/>
    <w:rsid w:val="14B92363"/>
    <w:rsid w:val="152A12AF"/>
    <w:rsid w:val="155B2CCD"/>
    <w:rsid w:val="1582402C"/>
    <w:rsid w:val="159268A8"/>
    <w:rsid w:val="15D722C5"/>
    <w:rsid w:val="1741041E"/>
    <w:rsid w:val="175247BB"/>
    <w:rsid w:val="175775B7"/>
    <w:rsid w:val="17FF18D5"/>
    <w:rsid w:val="184D4B6B"/>
    <w:rsid w:val="184F155C"/>
    <w:rsid w:val="18795DA1"/>
    <w:rsid w:val="18EE2EFD"/>
    <w:rsid w:val="190F7DEA"/>
    <w:rsid w:val="19177514"/>
    <w:rsid w:val="1A17381D"/>
    <w:rsid w:val="1A573AF4"/>
    <w:rsid w:val="1AAE50AD"/>
    <w:rsid w:val="1B67425E"/>
    <w:rsid w:val="1BFD79DE"/>
    <w:rsid w:val="1C1503DF"/>
    <w:rsid w:val="1C4D5A34"/>
    <w:rsid w:val="1C6445BF"/>
    <w:rsid w:val="1C7A0BA4"/>
    <w:rsid w:val="1CC25DDD"/>
    <w:rsid w:val="1EAC52DB"/>
    <w:rsid w:val="1EFB5DBE"/>
    <w:rsid w:val="1F7104AA"/>
    <w:rsid w:val="1F957FBF"/>
    <w:rsid w:val="203A116E"/>
    <w:rsid w:val="20432F75"/>
    <w:rsid w:val="228C2310"/>
    <w:rsid w:val="236B629C"/>
    <w:rsid w:val="23AD6BB0"/>
    <w:rsid w:val="24476C9A"/>
    <w:rsid w:val="24C00653"/>
    <w:rsid w:val="25246F3F"/>
    <w:rsid w:val="261C42EE"/>
    <w:rsid w:val="2701136E"/>
    <w:rsid w:val="2745161A"/>
    <w:rsid w:val="275707D2"/>
    <w:rsid w:val="27E97FA4"/>
    <w:rsid w:val="28093858"/>
    <w:rsid w:val="283A496F"/>
    <w:rsid w:val="284F5D73"/>
    <w:rsid w:val="288F73CA"/>
    <w:rsid w:val="289B209A"/>
    <w:rsid w:val="299339F2"/>
    <w:rsid w:val="2AA46D6A"/>
    <w:rsid w:val="2AC103B1"/>
    <w:rsid w:val="2BAD1FC4"/>
    <w:rsid w:val="2BAE7D95"/>
    <w:rsid w:val="2BF1075D"/>
    <w:rsid w:val="2C4321B8"/>
    <w:rsid w:val="2DA6263C"/>
    <w:rsid w:val="2DD84CF8"/>
    <w:rsid w:val="2E087B80"/>
    <w:rsid w:val="2EE04C36"/>
    <w:rsid w:val="2F663A15"/>
    <w:rsid w:val="2F6D3022"/>
    <w:rsid w:val="30E22ED7"/>
    <w:rsid w:val="30F063B0"/>
    <w:rsid w:val="32D76209"/>
    <w:rsid w:val="33BB5A78"/>
    <w:rsid w:val="3456556B"/>
    <w:rsid w:val="34600B49"/>
    <w:rsid w:val="34FA1C8D"/>
    <w:rsid w:val="357743B4"/>
    <w:rsid w:val="366A58EB"/>
    <w:rsid w:val="36816639"/>
    <w:rsid w:val="36FB1188"/>
    <w:rsid w:val="37064052"/>
    <w:rsid w:val="37871C16"/>
    <w:rsid w:val="38337D32"/>
    <w:rsid w:val="391D01C2"/>
    <w:rsid w:val="39F12262"/>
    <w:rsid w:val="3A005F03"/>
    <w:rsid w:val="3B265399"/>
    <w:rsid w:val="3BAE447B"/>
    <w:rsid w:val="3C0577BE"/>
    <w:rsid w:val="3C38025F"/>
    <w:rsid w:val="3C656B91"/>
    <w:rsid w:val="3C992538"/>
    <w:rsid w:val="3E244B3D"/>
    <w:rsid w:val="3ED414BF"/>
    <w:rsid w:val="3F3B12E2"/>
    <w:rsid w:val="40E75916"/>
    <w:rsid w:val="40FD33B3"/>
    <w:rsid w:val="413C14FA"/>
    <w:rsid w:val="421E6536"/>
    <w:rsid w:val="425858EE"/>
    <w:rsid w:val="43232767"/>
    <w:rsid w:val="44675355"/>
    <w:rsid w:val="44A8315E"/>
    <w:rsid w:val="44E4049B"/>
    <w:rsid w:val="45296E84"/>
    <w:rsid w:val="457E4BFF"/>
    <w:rsid w:val="45DB2F51"/>
    <w:rsid w:val="46212862"/>
    <w:rsid w:val="4692478F"/>
    <w:rsid w:val="478700D4"/>
    <w:rsid w:val="47C40AA6"/>
    <w:rsid w:val="47F1468F"/>
    <w:rsid w:val="489E5412"/>
    <w:rsid w:val="48C1039D"/>
    <w:rsid w:val="48F86CA3"/>
    <w:rsid w:val="494E5AF8"/>
    <w:rsid w:val="49BC6D6A"/>
    <w:rsid w:val="4A5C31FC"/>
    <w:rsid w:val="4AFB2D00"/>
    <w:rsid w:val="4B040FDA"/>
    <w:rsid w:val="4B3F663F"/>
    <w:rsid w:val="4B442BE5"/>
    <w:rsid w:val="4B8D0C61"/>
    <w:rsid w:val="4C177EAE"/>
    <w:rsid w:val="4DF621FF"/>
    <w:rsid w:val="4F022724"/>
    <w:rsid w:val="4FBF5A4F"/>
    <w:rsid w:val="507D60CA"/>
    <w:rsid w:val="516D0850"/>
    <w:rsid w:val="51EB1E7A"/>
    <w:rsid w:val="52266C75"/>
    <w:rsid w:val="52994F14"/>
    <w:rsid w:val="52F66AE1"/>
    <w:rsid w:val="53CB23A2"/>
    <w:rsid w:val="53E353C1"/>
    <w:rsid w:val="545A55B2"/>
    <w:rsid w:val="54877B05"/>
    <w:rsid w:val="550D23FD"/>
    <w:rsid w:val="55287395"/>
    <w:rsid w:val="55741AE9"/>
    <w:rsid w:val="563C4468"/>
    <w:rsid w:val="56EF7619"/>
    <w:rsid w:val="572C1E49"/>
    <w:rsid w:val="58021AF1"/>
    <w:rsid w:val="58275D40"/>
    <w:rsid w:val="588E5B38"/>
    <w:rsid w:val="58F445C4"/>
    <w:rsid w:val="599841B4"/>
    <w:rsid w:val="59DD3FCE"/>
    <w:rsid w:val="5BB54BA8"/>
    <w:rsid w:val="5C3728F7"/>
    <w:rsid w:val="5DF84074"/>
    <w:rsid w:val="5F19102D"/>
    <w:rsid w:val="605103D8"/>
    <w:rsid w:val="608D3C5C"/>
    <w:rsid w:val="60C15EDE"/>
    <w:rsid w:val="60C5302B"/>
    <w:rsid w:val="622845F4"/>
    <w:rsid w:val="62EC1C8A"/>
    <w:rsid w:val="632E7AC9"/>
    <w:rsid w:val="65F47B71"/>
    <w:rsid w:val="668A2841"/>
    <w:rsid w:val="671A011A"/>
    <w:rsid w:val="6757664B"/>
    <w:rsid w:val="68EA7CF7"/>
    <w:rsid w:val="69223EFC"/>
    <w:rsid w:val="69927E36"/>
    <w:rsid w:val="69CE18A4"/>
    <w:rsid w:val="6A2503CE"/>
    <w:rsid w:val="6A727533"/>
    <w:rsid w:val="6A806899"/>
    <w:rsid w:val="6AAC162D"/>
    <w:rsid w:val="6AE9617A"/>
    <w:rsid w:val="6B3D53FB"/>
    <w:rsid w:val="6B665251"/>
    <w:rsid w:val="6B765A01"/>
    <w:rsid w:val="6BF66704"/>
    <w:rsid w:val="6C78623F"/>
    <w:rsid w:val="6C9E3F95"/>
    <w:rsid w:val="6CBE7758"/>
    <w:rsid w:val="6D4C5CE1"/>
    <w:rsid w:val="6D9528B3"/>
    <w:rsid w:val="6DA74974"/>
    <w:rsid w:val="6EA135CB"/>
    <w:rsid w:val="6EB02236"/>
    <w:rsid w:val="6FD425A4"/>
    <w:rsid w:val="70E522EC"/>
    <w:rsid w:val="715168D7"/>
    <w:rsid w:val="717759C9"/>
    <w:rsid w:val="71E956BE"/>
    <w:rsid w:val="720B35BE"/>
    <w:rsid w:val="72251845"/>
    <w:rsid w:val="72A43831"/>
    <w:rsid w:val="72EE757E"/>
    <w:rsid w:val="730B7A23"/>
    <w:rsid w:val="73C32F03"/>
    <w:rsid w:val="742F1E96"/>
    <w:rsid w:val="74AF2C00"/>
    <w:rsid w:val="75626818"/>
    <w:rsid w:val="75C50ADA"/>
    <w:rsid w:val="75F86B00"/>
    <w:rsid w:val="76C951AF"/>
    <w:rsid w:val="771B5433"/>
    <w:rsid w:val="779D15D1"/>
    <w:rsid w:val="77C02D1E"/>
    <w:rsid w:val="7A4D103F"/>
    <w:rsid w:val="7A780045"/>
    <w:rsid w:val="7ACB256F"/>
    <w:rsid w:val="7B5F1FCE"/>
    <w:rsid w:val="7BF05636"/>
    <w:rsid w:val="7C021970"/>
    <w:rsid w:val="7CFB727B"/>
    <w:rsid w:val="7D1E45CB"/>
    <w:rsid w:val="7E25542F"/>
    <w:rsid w:val="7EC377B2"/>
    <w:rsid w:val="7EFB3C1A"/>
    <w:rsid w:val="7F053441"/>
    <w:rsid w:val="7FC12C8E"/>
    <w:rsid w:val="7FFC7D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电脑室</Company>
  <Pages>7</Pages>
  <Words>2830</Words>
  <Characters>3680</Characters>
  <Lines>10</Lines>
  <Paragraphs>2</Paragraphs>
  <TotalTime>1</TotalTime>
  <ScaleCrop>false</ScaleCrop>
  <LinksUpToDate>false</LinksUpToDate>
  <CharactersWithSpaces>3714</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2021-03-19T07:20:00Z</dcterms:created>
  <dc:creator>郭海滨</dc:creator>
  <cp:lastModifiedBy>欧高清</cp:lastModifiedBy>
  <cp:lastPrinted>2022-07-15T02:40:00Z</cp:lastPrinted>
  <dcterms:modified xsi:type="dcterms:W3CDTF">2022-11-18T03:19:26Z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