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rFonts w:hint="eastAsia" w:ascii="黑体" w:hAnsi="黑体" w:eastAsia="黑体" w:cs="黑体"/>
          <w:sz w:val="44"/>
          <w:szCs w:val="52"/>
        </w:rPr>
      </w:pPr>
      <w:r>
        <w:rPr>
          <w:rFonts w:hint="eastAsia" w:ascii="仿宋" w:hAnsi="仿宋" w:eastAsia="仿宋"/>
          <w:color w:val="000000"/>
          <w:sz w:val="30"/>
          <w:szCs w:val="30"/>
        </w:rPr>
        <w:t>附件1</w:t>
      </w:r>
    </w:p>
    <w:p>
      <w:pPr>
        <w:spacing w:afterLines="50" w:line="560" w:lineRule="exact"/>
        <w:jc w:val="center"/>
        <w:rPr>
          <w:rFonts w:ascii="黑体" w:hAnsi="黑体" w:eastAsia="黑体" w:cs="黑体"/>
          <w:sz w:val="44"/>
          <w:szCs w:val="52"/>
        </w:rPr>
      </w:pPr>
      <w:r>
        <w:rPr>
          <w:rFonts w:hint="eastAsia" w:ascii="黑体" w:hAnsi="黑体" w:eastAsia="黑体" w:cs="黑体"/>
          <w:sz w:val="44"/>
          <w:szCs w:val="52"/>
        </w:rPr>
        <w:t>征地补偿安置方案</w:t>
      </w:r>
    </w:p>
    <w:p>
      <w:pPr>
        <w:spacing w:afterLines="50" w:line="560" w:lineRule="exact"/>
        <w:jc w:val="center"/>
        <w:rPr>
          <w:sz w:val="32"/>
        </w:rPr>
      </w:pPr>
    </w:p>
    <w:p>
      <w:pPr>
        <w:spacing w:line="56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 xml:space="preserve"> 为实施城镇规划，广州市南沙区人民政府拟征收</w:t>
      </w:r>
      <w:r>
        <w:rPr>
          <w:rFonts w:hint="eastAsia" w:ascii="仿宋_GB2312" w:hAnsi="仿宋_GB2312" w:eastAsia="仿宋_GB2312" w:cs="仿宋_GB2312"/>
          <w:sz w:val="32"/>
          <w:lang w:val="en-US" w:eastAsia="zh-CN"/>
        </w:rPr>
        <w:t>黄阁镇东里经济联合社、蕉门经济联合社农民集体属下的集体土地共1.0798公顷</w:t>
      </w:r>
      <w:r>
        <w:rPr>
          <w:rFonts w:hint="eastAsia" w:ascii="仿宋_GB2312" w:hAnsi="仿宋_GB2312" w:eastAsia="仿宋_GB2312" w:cs="仿宋_GB2312"/>
          <w:sz w:val="32"/>
        </w:rPr>
        <w:t>。</w:t>
      </w:r>
      <w:r>
        <w:rPr>
          <w:rFonts w:hint="eastAsia" w:eastAsia="仿宋_GB2312"/>
          <w:sz w:val="32"/>
          <w:szCs w:val="32"/>
        </w:rPr>
        <w:t>根据《中华人民共和国土地管理法》《</w:t>
      </w:r>
      <w:r>
        <w:rPr>
          <w:rFonts w:hint="eastAsia" w:eastAsia="仿宋_GB2312"/>
          <w:sz w:val="32"/>
          <w:szCs w:val="32"/>
          <w:lang w:val="en-US" w:eastAsia="zh-CN"/>
        </w:rPr>
        <w:t>中华人民共和国土地管理法实施条例</w:t>
      </w:r>
      <w:r>
        <w:rPr>
          <w:rFonts w:hint="eastAsia" w:eastAsia="仿宋_GB2312"/>
          <w:sz w:val="32"/>
          <w:szCs w:val="32"/>
        </w:rPr>
        <w:t>》等规定以及广州市征收农用地区片综合地价，拟定了征地补偿安置方案，具体如下：</w:t>
      </w:r>
    </w:p>
    <w:p>
      <w:pPr>
        <w:spacing w:line="560" w:lineRule="exact"/>
        <w:ind w:left="640"/>
        <w:rPr>
          <w:rFonts w:hint="eastAsia" w:ascii="黑体" w:hAnsi="黑体" w:eastAsia="黑体" w:cs="黑体"/>
          <w:sz w:val="32"/>
          <w:szCs w:val="32"/>
        </w:rPr>
      </w:pPr>
      <w:r>
        <w:rPr>
          <w:rFonts w:hint="eastAsia" w:ascii="黑体" w:hAnsi="黑体" w:eastAsia="黑体" w:cs="黑体"/>
          <w:sz w:val="32"/>
          <w:szCs w:val="32"/>
        </w:rPr>
        <w:t>一、征收集体土地情况</w:t>
      </w:r>
    </w:p>
    <w:p>
      <w:pPr>
        <w:spacing w:line="560" w:lineRule="exact"/>
        <w:ind w:firstLine="640" w:firstLineChars="200"/>
        <w:rPr>
          <w:rFonts w:hint="eastAsia" w:eastAsia="仿宋_GB2312"/>
          <w:sz w:val="32"/>
          <w:szCs w:val="32"/>
        </w:rPr>
      </w:pPr>
      <w:r>
        <w:rPr>
          <w:rFonts w:hint="eastAsia" w:eastAsia="仿宋_GB2312"/>
          <w:sz w:val="32"/>
          <w:szCs w:val="32"/>
        </w:rPr>
        <w:t>征收集体土地总面积</w:t>
      </w:r>
      <w:r>
        <w:rPr>
          <w:rFonts w:hint="eastAsia" w:eastAsia="仿宋_GB2312"/>
          <w:sz w:val="32"/>
          <w:szCs w:val="32"/>
          <w:lang w:val="en-US" w:eastAsia="zh-CN"/>
        </w:rPr>
        <w:t>1.0798</w:t>
      </w:r>
      <w:r>
        <w:rPr>
          <w:rFonts w:hint="eastAsia" w:eastAsia="仿宋_GB2312"/>
          <w:sz w:val="32"/>
          <w:szCs w:val="32"/>
        </w:rPr>
        <w:t>公顷，</w:t>
      </w:r>
      <w:r>
        <w:rPr>
          <w:rFonts w:hint="default" w:ascii="Times New Roman" w:hAnsi="Times New Roman" w:eastAsia="仿宋_GB2312" w:cs="Times New Roman"/>
          <w:sz w:val="32"/>
          <w:szCs w:val="32"/>
          <w:lang w:val="en-US" w:eastAsia="zh-CN"/>
        </w:rPr>
        <w:t>根据拟征收土地现状调查，征地范围涉及土地现状农用地</w:t>
      </w:r>
      <w:r>
        <w:rPr>
          <w:rFonts w:hint="eastAsia" w:ascii="Times New Roman" w:hAnsi="Times New Roman" w:eastAsia="仿宋_GB2312" w:cs="Times New Roman"/>
          <w:sz w:val="32"/>
          <w:szCs w:val="32"/>
          <w:lang w:val="en-US" w:eastAsia="zh-CN"/>
        </w:rPr>
        <w:t>1.0718</w:t>
      </w:r>
      <w:r>
        <w:rPr>
          <w:rFonts w:hint="default" w:ascii="Times New Roman" w:hAnsi="Times New Roman" w:eastAsia="仿宋_GB2312" w:cs="Times New Roman"/>
          <w:sz w:val="32"/>
          <w:szCs w:val="32"/>
          <w:lang w:val="en-US" w:eastAsia="zh-CN"/>
        </w:rPr>
        <w:t>公顷（耕地</w:t>
      </w:r>
      <w:r>
        <w:rPr>
          <w:rFonts w:hint="eastAsia" w:ascii="Times New Roman" w:hAnsi="Times New Roman" w:eastAsia="仿宋_GB2312" w:cs="Times New Roman"/>
          <w:sz w:val="32"/>
          <w:szCs w:val="32"/>
          <w:lang w:val="en-US" w:eastAsia="zh-CN"/>
        </w:rPr>
        <w:t>0.6779</w:t>
      </w:r>
      <w:r>
        <w:rPr>
          <w:rFonts w:hint="default" w:ascii="Times New Roman" w:hAnsi="Times New Roman" w:eastAsia="仿宋_GB2312" w:cs="Times New Roman"/>
          <w:sz w:val="32"/>
          <w:szCs w:val="32"/>
          <w:lang w:val="en-US" w:eastAsia="zh-CN"/>
        </w:rPr>
        <w:t>公顷、园地</w:t>
      </w:r>
      <w:r>
        <w:rPr>
          <w:rFonts w:hint="eastAsia" w:ascii="Times New Roman" w:hAnsi="Times New Roman" w:eastAsia="仿宋_GB2312" w:cs="Times New Roman"/>
          <w:sz w:val="32"/>
          <w:szCs w:val="32"/>
          <w:lang w:val="en-US" w:eastAsia="zh-CN"/>
        </w:rPr>
        <w:t>0.0067</w:t>
      </w:r>
      <w:r>
        <w:rPr>
          <w:rFonts w:hint="default" w:ascii="Times New Roman" w:hAnsi="Times New Roman" w:eastAsia="仿宋_GB2312" w:cs="Times New Roman"/>
          <w:sz w:val="32"/>
          <w:szCs w:val="32"/>
          <w:lang w:val="en-US" w:eastAsia="zh-CN"/>
        </w:rPr>
        <w:t>公顷</w:t>
      </w:r>
      <w:r>
        <w:rPr>
          <w:rFonts w:hint="eastAsia" w:ascii="Times New Roman" w:hAnsi="Times New Roman" w:eastAsia="仿宋_GB2312" w:cs="Times New Roman"/>
          <w:sz w:val="32"/>
          <w:szCs w:val="32"/>
          <w:lang w:val="en-US" w:eastAsia="zh-CN"/>
        </w:rPr>
        <w:t>、林地0.1855</w:t>
      </w:r>
      <w:r>
        <w:rPr>
          <w:rFonts w:hint="default" w:ascii="Times New Roman" w:hAnsi="Times New Roman" w:eastAsia="仿宋_GB2312" w:cs="Times New Roman"/>
          <w:sz w:val="32"/>
          <w:szCs w:val="32"/>
          <w:lang w:val="en-US" w:eastAsia="zh-CN"/>
        </w:rPr>
        <w:t>公顷，其他农用地</w:t>
      </w:r>
      <w:r>
        <w:rPr>
          <w:rFonts w:hint="eastAsia" w:ascii="Times New Roman" w:hAnsi="Times New Roman" w:eastAsia="仿宋_GB2312" w:cs="Times New Roman"/>
          <w:sz w:val="32"/>
          <w:szCs w:val="32"/>
          <w:lang w:val="en-US" w:eastAsia="zh-CN"/>
        </w:rPr>
        <w:t>0.2017</w:t>
      </w:r>
      <w:r>
        <w:rPr>
          <w:rFonts w:hint="default" w:ascii="Times New Roman" w:hAnsi="Times New Roman" w:eastAsia="仿宋_GB2312" w:cs="Times New Roman"/>
          <w:sz w:val="32"/>
          <w:szCs w:val="32"/>
          <w:lang w:val="en-US" w:eastAsia="zh-CN"/>
        </w:rPr>
        <w:t>公顷）、建设用地</w:t>
      </w:r>
      <w:r>
        <w:rPr>
          <w:rFonts w:hint="eastAsia" w:ascii="Times New Roman" w:hAnsi="Times New Roman" w:eastAsia="仿宋_GB2312" w:cs="Times New Roman"/>
          <w:sz w:val="32"/>
          <w:szCs w:val="32"/>
          <w:lang w:val="en-US" w:eastAsia="zh-CN"/>
        </w:rPr>
        <w:t>0.0043</w:t>
      </w:r>
      <w:r>
        <w:rPr>
          <w:rFonts w:hint="default" w:ascii="Times New Roman" w:hAnsi="Times New Roman" w:eastAsia="仿宋_GB2312" w:cs="Times New Roman"/>
          <w:sz w:val="32"/>
          <w:szCs w:val="32"/>
          <w:lang w:val="en-US" w:eastAsia="zh-CN"/>
        </w:rPr>
        <w:t>公顷、未利用地</w:t>
      </w:r>
      <w:r>
        <w:rPr>
          <w:rFonts w:hint="eastAsia" w:ascii="Times New Roman" w:hAnsi="Times New Roman" w:eastAsia="仿宋_GB2312" w:cs="Times New Roman"/>
          <w:sz w:val="32"/>
          <w:szCs w:val="32"/>
          <w:lang w:val="en-US" w:eastAsia="zh-CN"/>
        </w:rPr>
        <w:t>0.0037</w:t>
      </w:r>
      <w:r>
        <w:rPr>
          <w:rFonts w:hint="default" w:ascii="Times New Roman" w:hAnsi="Times New Roman" w:eastAsia="仿宋_GB2312" w:cs="Times New Roman"/>
          <w:sz w:val="32"/>
          <w:szCs w:val="32"/>
          <w:lang w:val="en-US" w:eastAsia="zh-CN"/>
        </w:rPr>
        <w:t>公顷。根据用地报批</w:t>
      </w:r>
      <w:r>
        <w:rPr>
          <w:rFonts w:hint="eastAsia" w:ascii="Times New Roman" w:hAnsi="Times New Roman" w:eastAsia="仿宋_GB2312" w:cs="Times New Roman"/>
          <w:sz w:val="32"/>
          <w:szCs w:val="32"/>
          <w:lang w:val="en-US" w:eastAsia="zh-CN"/>
        </w:rPr>
        <w:t>地类相关规则，</w:t>
      </w:r>
      <w:r>
        <w:rPr>
          <w:rFonts w:hint="default" w:ascii="Times New Roman" w:hAnsi="Times New Roman" w:eastAsia="仿宋_GB2312" w:cs="Times New Roman"/>
          <w:sz w:val="32"/>
          <w:szCs w:val="32"/>
          <w:lang w:val="en-US" w:eastAsia="zh-CN"/>
        </w:rPr>
        <w:t>上述征收地块报批地类为农用地</w:t>
      </w:r>
      <w:r>
        <w:rPr>
          <w:rFonts w:hint="eastAsia" w:ascii="Times New Roman" w:hAnsi="Times New Roman" w:eastAsia="仿宋_GB2312" w:cs="Times New Roman"/>
          <w:sz w:val="32"/>
          <w:szCs w:val="32"/>
          <w:lang w:val="en-US" w:eastAsia="zh-CN"/>
        </w:rPr>
        <w:t>1.0761</w:t>
      </w:r>
      <w:r>
        <w:rPr>
          <w:rFonts w:hint="default" w:ascii="Times New Roman" w:hAnsi="Times New Roman" w:eastAsia="仿宋_GB2312" w:cs="Times New Roman"/>
          <w:sz w:val="32"/>
          <w:szCs w:val="32"/>
          <w:lang w:val="en-US" w:eastAsia="zh-CN"/>
        </w:rPr>
        <w:t>公顷（耕地</w:t>
      </w:r>
      <w:r>
        <w:rPr>
          <w:rFonts w:hint="eastAsia" w:ascii="Times New Roman" w:hAnsi="Times New Roman" w:eastAsia="仿宋_GB2312" w:cs="Times New Roman"/>
          <w:sz w:val="32"/>
          <w:szCs w:val="32"/>
          <w:lang w:val="en-US" w:eastAsia="zh-CN"/>
        </w:rPr>
        <w:t>0.6796</w:t>
      </w:r>
      <w:r>
        <w:rPr>
          <w:rFonts w:hint="default" w:ascii="Times New Roman" w:hAnsi="Times New Roman" w:eastAsia="仿宋_GB2312" w:cs="Times New Roman"/>
          <w:sz w:val="32"/>
          <w:szCs w:val="32"/>
          <w:lang w:val="en-US" w:eastAsia="zh-CN"/>
        </w:rPr>
        <w:t>公顷、园地</w:t>
      </w:r>
      <w:r>
        <w:rPr>
          <w:rFonts w:hint="eastAsia" w:ascii="Times New Roman" w:hAnsi="Times New Roman" w:eastAsia="仿宋_GB2312" w:cs="Times New Roman"/>
          <w:sz w:val="32"/>
          <w:szCs w:val="32"/>
          <w:lang w:val="en-US" w:eastAsia="zh-CN"/>
        </w:rPr>
        <w:t>0.0067</w:t>
      </w:r>
      <w:r>
        <w:rPr>
          <w:rFonts w:hint="default" w:ascii="Times New Roman" w:hAnsi="Times New Roman" w:eastAsia="仿宋_GB2312" w:cs="Times New Roman"/>
          <w:sz w:val="32"/>
          <w:szCs w:val="32"/>
          <w:lang w:val="en-US" w:eastAsia="zh-CN"/>
        </w:rPr>
        <w:t>公顷、林地</w:t>
      </w:r>
      <w:r>
        <w:rPr>
          <w:rFonts w:hint="eastAsia" w:ascii="Times New Roman" w:hAnsi="Times New Roman" w:eastAsia="仿宋_GB2312" w:cs="Times New Roman"/>
          <w:sz w:val="32"/>
          <w:szCs w:val="32"/>
          <w:lang w:val="en-US" w:eastAsia="zh-CN"/>
        </w:rPr>
        <w:t>0.1885</w:t>
      </w:r>
      <w:r>
        <w:rPr>
          <w:rFonts w:hint="default" w:ascii="Times New Roman" w:hAnsi="Times New Roman" w:eastAsia="仿宋_GB2312" w:cs="Times New Roman"/>
          <w:sz w:val="32"/>
          <w:szCs w:val="32"/>
          <w:lang w:val="en-US" w:eastAsia="zh-CN"/>
        </w:rPr>
        <w:t>公顷，其他农用地</w:t>
      </w:r>
      <w:r>
        <w:rPr>
          <w:rFonts w:hint="eastAsia" w:ascii="Times New Roman" w:hAnsi="Times New Roman" w:eastAsia="仿宋_GB2312" w:cs="Times New Roman"/>
          <w:sz w:val="32"/>
          <w:szCs w:val="32"/>
          <w:lang w:val="en-US" w:eastAsia="zh-CN"/>
        </w:rPr>
        <w:t>0.2043</w:t>
      </w:r>
      <w:r>
        <w:rPr>
          <w:rFonts w:hint="default" w:ascii="Times New Roman" w:hAnsi="Times New Roman" w:eastAsia="仿宋_GB2312" w:cs="Times New Roman"/>
          <w:sz w:val="32"/>
          <w:szCs w:val="32"/>
          <w:lang w:val="en-US" w:eastAsia="zh-CN"/>
        </w:rPr>
        <w:t>公顷）、未利用地</w:t>
      </w:r>
      <w:r>
        <w:rPr>
          <w:rFonts w:hint="eastAsia" w:ascii="Times New Roman" w:hAnsi="Times New Roman" w:eastAsia="仿宋_GB2312" w:cs="Times New Roman"/>
          <w:sz w:val="32"/>
          <w:szCs w:val="32"/>
          <w:lang w:val="en-US" w:eastAsia="zh-CN"/>
        </w:rPr>
        <w:t>0.0037</w:t>
      </w:r>
      <w:r>
        <w:rPr>
          <w:rFonts w:hint="default" w:ascii="Times New Roman" w:hAnsi="Times New Roman" w:eastAsia="仿宋_GB2312" w:cs="Times New Roman"/>
          <w:sz w:val="32"/>
          <w:szCs w:val="32"/>
          <w:lang w:val="en-US" w:eastAsia="zh-CN"/>
        </w:rPr>
        <w:t>公顷。</w:t>
      </w:r>
      <w:r>
        <w:rPr>
          <w:rFonts w:hint="eastAsia" w:eastAsia="仿宋_GB2312"/>
          <w:sz w:val="32"/>
          <w:szCs w:val="32"/>
        </w:rPr>
        <w:t>具体结果以用地批准结果为准。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土地补偿费与安置补偿费</w:t>
      </w:r>
    </w:p>
    <w:p>
      <w:pPr>
        <w:spacing w:beforeLines="50" w:line="560" w:lineRule="exact"/>
        <w:jc w:val="center"/>
        <w:rPr>
          <w:rFonts w:eastAsia="仿宋_GB2312"/>
          <w:b/>
          <w:bCs/>
          <w:sz w:val="28"/>
          <w:szCs w:val="28"/>
        </w:rPr>
      </w:pPr>
      <w:r>
        <w:rPr>
          <w:rFonts w:hint="eastAsia" w:eastAsia="仿宋_GB2312"/>
          <w:b/>
          <w:bCs/>
          <w:sz w:val="28"/>
          <w:szCs w:val="28"/>
        </w:rPr>
        <w:t>土地补偿费与安置补偿费一览表</w:t>
      </w:r>
    </w:p>
    <w:p>
      <w:pPr>
        <w:spacing w:line="560" w:lineRule="exact"/>
        <w:jc w:val="right"/>
        <w:rPr>
          <w:rFonts w:hint="eastAsia" w:eastAsia="仿宋_GB2312"/>
          <w:sz w:val="22"/>
          <w:szCs w:val="22"/>
        </w:rPr>
      </w:pPr>
      <w:r>
        <w:rPr>
          <w:rFonts w:hint="eastAsia" w:eastAsia="仿宋_GB2312"/>
          <w:sz w:val="22"/>
          <w:szCs w:val="22"/>
        </w:rPr>
        <w:t>（单位：公顷、万元/公顷、万元）</w:t>
      </w:r>
    </w:p>
    <w:tbl>
      <w:tblPr>
        <w:tblStyle w:val="4"/>
        <w:tblW w:w="954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60"/>
        <w:gridCol w:w="1050"/>
        <w:gridCol w:w="1011"/>
        <w:gridCol w:w="1254"/>
        <w:gridCol w:w="1050"/>
        <w:gridCol w:w="123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5" w:type="dxa"/>
            <w:vMerge w:val="restart"/>
            <w:vAlign w:val="center"/>
          </w:tcPr>
          <w:p>
            <w:pPr>
              <w:spacing w:line="560" w:lineRule="exact"/>
              <w:jc w:val="center"/>
              <w:rPr>
                <w:rFonts w:eastAsia="仿宋_GB2312"/>
                <w:b/>
                <w:bCs/>
                <w:sz w:val="24"/>
              </w:rPr>
            </w:pPr>
            <w:r>
              <w:rPr>
                <w:rFonts w:hint="eastAsia" w:eastAsia="仿宋_GB2312"/>
                <w:b/>
                <w:bCs/>
                <w:sz w:val="24"/>
              </w:rPr>
              <w:t>单位</w:t>
            </w:r>
          </w:p>
        </w:tc>
        <w:tc>
          <w:tcPr>
            <w:tcW w:w="1260" w:type="dxa"/>
            <w:vMerge w:val="restart"/>
            <w:vAlign w:val="center"/>
          </w:tcPr>
          <w:p>
            <w:pPr>
              <w:spacing w:line="560" w:lineRule="exact"/>
              <w:jc w:val="center"/>
              <w:rPr>
                <w:rFonts w:eastAsia="仿宋_GB2312"/>
                <w:b/>
                <w:bCs/>
                <w:sz w:val="24"/>
              </w:rPr>
            </w:pPr>
            <w:r>
              <w:rPr>
                <w:rFonts w:hint="eastAsia" w:eastAsia="仿宋_GB2312"/>
                <w:b/>
                <w:bCs/>
                <w:sz w:val="24"/>
              </w:rPr>
              <w:t>土地类别</w:t>
            </w:r>
          </w:p>
        </w:tc>
        <w:tc>
          <w:tcPr>
            <w:tcW w:w="1050" w:type="dxa"/>
            <w:vMerge w:val="restart"/>
            <w:vAlign w:val="center"/>
          </w:tcPr>
          <w:p>
            <w:pPr>
              <w:spacing w:line="560" w:lineRule="exact"/>
              <w:jc w:val="center"/>
              <w:rPr>
                <w:rFonts w:eastAsia="仿宋_GB2312"/>
                <w:b/>
                <w:bCs/>
                <w:sz w:val="24"/>
              </w:rPr>
            </w:pPr>
            <w:r>
              <w:rPr>
                <w:rFonts w:hint="eastAsia" w:eastAsia="仿宋_GB2312"/>
                <w:b/>
                <w:bCs/>
                <w:sz w:val="24"/>
              </w:rPr>
              <w:t>面积</w:t>
            </w:r>
          </w:p>
        </w:tc>
        <w:tc>
          <w:tcPr>
            <w:tcW w:w="2265" w:type="dxa"/>
            <w:gridSpan w:val="2"/>
            <w:vAlign w:val="center"/>
          </w:tcPr>
          <w:p>
            <w:pPr>
              <w:spacing w:line="560" w:lineRule="exact"/>
              <w:jc w:val="center"/>
              <w:rPr>
                <w:rFonts w:eastAsia="仿宋_GB2312"/>
                <w:b/>
                <w:bCs/>
                <w:sz w:val="24"/>
              </w:rPr>
            </w:pPr>
            <w:r>
              <w:rPr>
                <w:rFonts w:hint="eastAsia" w:eastAsia="仿宋_GB2312"/>
                <w:b/>
                <w:bCs/>
                <w:sz w:val="24"/>
              </w:rPr>
              <w:t>土地补偿费</w:t>
            </w:r>
          </w:p>
        </w:tc>
        <w:tc>
          <w:tcPr>
            <w:tcW w:w="2280" w:type="dxa"/>
            <w:gridSpan w:val="2"/>
            <w:vAlign w:val="center"/>
          </w:tcPr>
          <w:p>
            <w:pPr>
              <w:spacing w:line="560" w:lineRule="exact"/>
              <w:jc w:val="center"/>
              <w:rPr>
                <w:rFonts w:eastAsia="仿宋_GB2312"/>
                <w:b/>
                <w:bCs/>
                <w:sz w:val="24"/>
              </w:rPr>
            </w:pPr>
            <w:r>
              <w:rPr>
                <w:rFonts w:hint="eastAsia" w:eastAsia="仿宋_GB2312"/>
                <w:b/>
                <w:bCs/>
                <w:sz w:val="24"/>
              </w:rPr>
              <w:t>安置补偿费</w:t>
            </w:r>
          </w:p>
        </w:tc>
        <w:tc>
          <w:tcPr>
            <w:tcW w:w="1412" w:type="dxa"/>
            <w:vMerge w:val="restart"/>
            <w:vAlign w:val="center"/>
          </w:tcPr>
          <w:p>
            <w:pPr>
              <w:spacing w:line="560" w:lineRule="exact"/>
              <w:jc w:val="center"/>
              <w:rPr>
                <w:rFonts w:eastAsia="仿宋_GB2312"/>
                <w:b/>
                <w:bCs/>
                <w:sz w:val="24"/>
              </w:rPr>
            </w:pPr>
            <w:r>
              <w:rPr>
                <w:rFonts w:hint="eastAsia" w:eastAsia="仿宋_GB2312"/>
                <w:b/>
                <w:bCs/>
                <w:sz w:val="24"/>
              </w:rPr>
              <w:t>小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5" w:type="dxa"/>
            <w:vMerge w:val="continue"/>
            <w:vAlign w:val="center"/>
          </w:tcPr>
          <w:p>
            <w:pPr>
              <w:spacing w:line="560" w:lineRule="exact"/>
              <w:jc w:val="center"/>
              <w:rPr>
                <w:rFonts w:eastAsia="仿宋_GB2312"/>
                <w:b/>
                <w:bCs/>
                <w:sz w:val="24"/>
              </w:rPr>
            </w:pPr>
          </w:p>
        </w:tc>
        <w:tc>
          <w:tcPr>
            <w:tcW w:w="1260" w:type="dxa"/>
            <w:vMerge w:val="continue"/>
            <w:vAlign w:val="center"/>
          </w:tcPr>
          <w:p>
            <w:pPr>
              <w:spacing w:line="560" w:lineRule="exact"/>
              <w:jc w:val="center"/>
              <w:rPr>
                <w:rFonts w:eastAsia="仿宋_GB2312"/>
                <w:b/>
                <w:bCs/>
                <w:sz w:val="24"/>
              </w:rPr>
            </w:pPr>
          </w:p>
        </w:tc>
        <w:tc>
          <w:tcPr>
            <w:tcW w:w="1050" w:type="dxa"/>
            <w:vMerge w:val="continue"/>
            <w:vAlign w:val="center"/>
          </w:tcPr>
          <w:p>
            <w:pPr>
              <w:spacing w:line="560" w:lineRule="exact"/>
              <w:jc w:val="center"/>
              <w:rPr>
                <w:rFonts w:eastAsia="仿宋_GB2312"/>
                <w:b/>
                <w:bCs/>
                <w:sz w:val="24"/>
              </w:rPr>
            </w:pPr>
          </w:p>
        </w:tc>
        <w:tc>
          <w:tcPr>
            <w:tcW w:w="1011" w:type="dxa"/>
            <w:vAlign w:val="center"/>
          </w:tcPr>
          <w:p>
            <w:pPr>
              <w:spacing w:line="560" w:lineRule="exact"/>
              <w:jc w:val="center"/>
              <w:rPr>
                <w:rFonts w:eastAsia="仿宋_GB2312"/>
                <w:b/>
                <w:bCs/>
                <w:sz w:val="24"/>
              </w:rPr>
            </w:pPr>
            <w:r>
              <w:rPr>
                <w:rFonts w:hint="eastAsia" w:eastAsia="仿宋_GB2312"/>
                <w:b/>
                <w:bCs/>
                <w:sz w:val="24"/>
              </w:rPr>
              <w:t>补偿</w:t>
            </w:r>
          </w:p>
          <w:p>
            <w:pPr>
              <w:spacing w:line="560" w:lineRule="exact"/>
              <w:jc w:val="center"/>
              <w:rPr>
                <w:rFonts w:eastAsia="仿宋_GB2312"/>
                <w:b/>
                <w:bCs/>
                <w:sz w:val="24"/>
              </w:rPr>
            </w:pPr>
            <w:r>
              <w:rPr>
                <w:rFonts w:hint="eastAsia" w:eastAsia="仿宋_GB2312"/>
                <w:b/>
                <w:bCs/>
                <w:sz w:val="24"/>
              </w:rPr>
              <w:t>标准</w:t>
            </w:r>
          </w:p>
        </w:tc>
        <w:tc>
          <w:tcPr>
            <w:tcW w:w="1254" w:type="dxa"/>
            <w:vAlign w:val="center"/>
          </w:tcPr>
          <w:p>
            <w:pPr>
              <w:spacing w:line="560" w:lineRule="exact"/>
              <w:jc w:val="center"/>
              <w:rPr>
                <w:rFonts w:eastAsia="仿宋_GB2312"/>
                <w:b/>
                <w:bCs/>
                <w:sz w:val="24"/>
              </w:rPr>
            </w:pPr>
            <w:r>
              <w:rPr>
                <w:rFonts w:hint="eastAsia" w:eastAsia="仿宋_GB2312"/>
                <w:b/>
                <w:bCs/>
                <w:sz w:val="24"/>
              </w:rPr>
              <w:t>补偿</w:t>
            </w:r>
          </w:p>
          <w:p>
            <w:pPr>
              <w:spacing w:line="560" w:lineRule="exact"/>
              <w:jc w:val="center"/>
              <w:rPr>
                <w:rFonts w:eastAsia="仿宋_GB2312"/>
                <w:b/>
                <w:bCs/>
                <w:sz w:val="24"/>
              </w:rPr>
            </w:pPr>
            <w:r>
              <w:rPr>
                <w:rFonts w:hint="eastAsia" w:eastAsia="仿宋_GB2312"/>
                <w:b/>
                <w:bCs/>
                <w:sz w:val="24"/>
              </w:rPr>
              <w:t>金额</w:t>
            </w:r>
          </w:p>
        </w:tc>
        <w:tc>
          <w:tcPr>
            <w:tcW w:w="1050" w:type="dxa"/>
            <w:vAlign w:val="center"/>
          </w:tcPr>
          <w:p>
            <w:pPr>
              <w:spacing w:line="560" w:lineRule="exact"/>
              <w:jc w:val="center"/>
              <w:rPr>
                <w:rFonts w:eastAsia="仿宋_GB2312"/>
                <w:b/>
                <w:bCs/>
                <w:sz w:val="24"/>
              </w:rPr>
            </w:pPr>
            <w:r>
              <w:rPr>
                <w:rFonts w:hint="eastAsia" w:eastAsia="仿宋_GB2312"/>
                <w:b/>
                <w:bCs/>
                <w:sz w:val="24"/>
              </w:rPr>
              <w:t>补偿</w:t>
            </w:r>
          </w:p>
          <w:p>
            <w:pPr>
              <w:spacing w:line="560" w:lineRule="exact"/>
              <w:jc w:val="center"/>
              <w:rPr>
                <w:rFonts w:eastAsia="仿宋_GB2312"/>
                <w:b/>
                <w:bCs/>
                <w:sz w:val="24"/>
              </w:rPr>
            </w:pPr>
            <w:r>
              <w:rPr>
                <w:rFonts w:hint="eastAsia" w:eastAsia="仿宋_GB2312"/>
                <w:b/>
                <w:bCs/>
                <w:sz w:val="24"/>
              </w:rPr>
              <w:t>标准</w:t>
            </w:r>
          </w:p>
        </w:tc>
        <w:tc>
          <w:tcPr>
            <w:tcW w:w="1230" w:type="dxa"/>
            <w:vAlign w:val="center"/>
          </w:tcPr>
          <w:p>
            <w:pPr>
              <w:spacing w:line="560" w:lineRule="exact"/>
              <w:jc w:val="center"/>
              <w:rPr>
                <w:rFonts w:eastAsia="仿宋_GB2312"/>
                <w:b/>
                <w:bCs/>
                <w:sz w:val="24"/>
              </w:rPr>
            </w:pPr>
            <w:r>
              <w:rPr>
                <w:rFonts w:hint="eastAsia" w:eastAsia="仿宋_GB2312"/>
                <w:b/>
                <w:bCs/>
                <w:sz w:val="24"/>
              </w:rPr>
              <w:t>补偿</w:t>
            </w:r>
          </w:p>
          <w:p>
            <w:pPr>
              <w:spacing w:line="560" w:lineRule="exact"/>
              <w:jc w:val="center"/>
              <w:rPr>
                <w:rFonts w:eastAsia="仿宋_GB2312"/>
                <w:b/>
                <w:bCs/>
                <w:sz w:val="24"/>
              </w:rPr>
            </w:pPr>
            <w:r>
              <w:rPr>
                <w:rFonts w:hint="eastAsia" w:eastAsia="仿宋_GB2312"/>
                <w:b/>
                <w:bCs/>
                <w:sz w:val="24"/>
              </w:rPr>
              <w:t>金额</w:t>
            </w:r>
          </w:p>
        </w:tc>
        <w:tc>
          <w:tcPr>
            <w:tcW w:w="1412" w:type="dxa"/>
            <w:vMerge w:val="continue"/>
            <w:vAlign w:val="center"/>
          </w:tcPr>
          <w:p>
            <w:pPr>
              <w:spacing w:line="560" w:lineRule="exact"/>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275" w:type="dxa"/>
            <w:vMerge w:val="restart"/>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黄阁镇东里经济联合社</w:t>
            </w:r>
          </w:p>
        </w:tc>
        <w:tc>
          <w:tcPr>
            <w:tcW w:w="126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农用地</w:t>
            </w:r>
          </w:p>
        </w:tc>
        <w:tc>
          <w:tcPr>
            <w:tcW w:w="1050"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0.1269</w:t>
            </w:r>
          </w:p>
        </w:tc>
        <w:tc>
          <w:tcPr>
            <w:tcW w:w="1011"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197.25</w:t>
            </w:r>
          </w:p>
        </w:tc>
        <w:tc>
          <w:tcPr>
            <w:tcW w:w="1254"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25.0310</w:t>
            </w:r>
          </w:p>
        </w:tc>
        <w:tc>
          <w:tcPr>
            <w:tcW w:w="105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197.25</w:t>
            </w:r>
          </w:p>
        </w:tc>
        <w:tc>
          <w:tcPr>
            <w:tcW w:w="1230" w:type="dxa"/>
            <w:vAlign w:val="center"/>
          </w:tcPr>
          <w:p>
            <w:pPr>
              <w:spacing w:line="400" w:lineRule="exact"/>
              <w:jc w:val="center"/>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25.0310</w:t>
            </w:r>
          </w:p>
        </w:tc>
        <w:tc>
          <w:tcPr>
            <w:tcW w:w="1412"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50.0620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275" w:type="dxa"/>
            <w:vMerge w:val="continue"/>
            <w:vAlign w:val="center"/>
          </w:tcPr>
          <w:p>
            <w:pPr>
              <w:spacing w:line="400" w:lineRule="exact"/>
              <w:jc w:val="center"/>
              <w:rPr>
                <w:rFonts w:hint="eastAsia" w:ascii="仿宋_GB2312" w:hAnsi="仿宋_GB2312" w:eastAsia="仿宋_GB2312" w:cs="仿宋_GB2312"/>
                <w:sz w:val="24"/>
                <w:lang w:val="en-US" w:eastAsia="zh-CN"/>
              </w:rPr>
            </w:pPr>
          </w:p>
        </w:tc>
        <w:tc>
          <w:tcPr>
            <w:tcW w:w="1260"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未利用地</w:t>
            </w:r>
          </w:p>
        </w:tc>
        <w:tc>
          <w:tcPr>
            <w:tcW w:w="1050"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0.0037</w:t>
            </w:r>
          </w:p>
        </w:tc>
        <w:tc>
          <w:tcPr>
            <w:tcW w:w="1011"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394.5</w:t>
            </w:r>
          </w:p>
        </w:tc>
        <w:tc>
          <w:tcPr>
            <w:tcW w:w="1254"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1.4597</w:t>
            </w:r>
          </w:p>
        </w:tc>
        <w:tc>
          <w:tcPr>
            <w:tcW w:w="1050"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230"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w:t>
            </w:r>
          </w:p>
        </w:tc>
        <w:tc>
          <w:tcPr>
            <w:tcW w:w="1412"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1.4597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275"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黄阁镇蕉门经济联合社</w:t>
            </w:r>
          </w:p>
        </w:tc>
        <w:tc>
          <w:tcPr>
            <w:tcW w:w="1260" w:type="dxa"/>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农用地</w:t>
            </w:r>
          </w:p>
        </w:tc>
        <w:tc>
          <w:tcPr>
            <w:tcW w:w="1050"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0.9492</w:t>
            </w:r>
          </w:p>
        </w:tc>
        <w:tc>
          <w:tcPr>
            <w:tcW w:w="1011"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197.25</w:t>
            </w:r>
          </w:p>
        </w:tc>
        <w:tc>
          <w:tcPr>
            <w:tcW w:w="1254"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187.2297</w:t>
            </w:r>
          </w:p>
        </w:tc>
        <w:tc>
          <w:tcPr>
            <w:tcW w:w="1050"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197.25</w:t>
            </w:r>
          </w:p>
        </w:tc>
        <w:tc>
          <w:tcPr>
            <w:tcW w:w="1230"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187.2297</w:t>
            </w:r>
          </w:p>
        </w:tc>
        <w:tc>
          <w:tcPr>
            <w:tcW w:w="1412"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374.4594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8130" w:type="dxa"/>
            <w:gridSpan w:val="7"/>
            <w:vAlign w:val="center"/>
          </w:tcPr>
          <w:p>
            <w:pPr>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土地补偿费和安置补偿费合计</w:t>
            </w:r>
          </w:p>
        </w:tc>
        <w:tc>
          <w:tcPr>
            <w:tcW w:w="1412" w:type="dxa"/>
            <w:vAlign w:val="center"/>
          </w:tcPr>
          <w:p>
            <w:pPr>
              <w:spacing w:line="40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425.9811</w:t>
            </w:r>
          </w:p>
        </w:tc>
      </w:tr>
    </w:tbl>
    <w:p>
      <w:pPr>
        <w:spacing w:beforeLines="5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涉及房屋拆迁的，按照广州市南沙区人民政府有关规定的标准进行补偿安置。</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三、青苗补偿费及地上附着物补偿费。</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征地范围内的青苗补偿费及地上附着物补偿费等其他补偿费用按政府有关规定进行补偿。</w:t>
      </w:r>
      <w:bookmarkStart w:id="0" w:name="_GoBack"/>
      <w:bookmarkEnd w:id="0"/>
    </w:p>
    <w:p>
      <w:pPr>
        <w:spacing w:line="560" w:lineRule="exact"/>
        <w:ind w:left="640"/>
        <w:rPr>
          <w:rFonts w:hint="eastAsia" w:ascii="黑体" w:hAnsi="黑体" w:eastAsia="黑体" w:cs="黑体"/>
          <w:color w:val="auto"/>
          <w:sz w:val="32"/>
          <w:szCs w:val="32"/>
        </w:rPr>
      </w:pPr>
      <w:r>
        <w:rPr>
          <w:rFonts w:hint="eastAsia" w:ascii="黑体" w:hAnsi="黑体" w:eastAsia="黑体" w:cs="黑体"/>
          <w:color w:val="auto"/>
          <w:sz w:val="32"/>
          <w:szCs w:val="32"/>
        </w:rPr>
        <w:t>四、安置措施情况</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为妥善安置被征地农民，切实解决被征地农民的生产生活出路，在保证货币安置落实的同时，按实际征地面积</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%计算留用地给被征地村集体，留用地兑现方式为</w:t>
      </w:r>
      <w:r>
        <w:rPr>
          <w:rFonts w:hint="eastAsia" w:ascii="仿宋_GB2312" w:hAnsi="仿宋_GB2312" w:eastAsia="仿宋_GB2312" w:cs="仿宋_GB2312"/>
          <w:color w:val="auto"/>
          <w:sz w:val="32"/>
          <w:szCs w:val="32"/>
          <w:lang w:val="en-US" w:eastAsia="zh-CN"/>
        </w:rPr>
        <w:t>实地留地</w:t>
      </w:r>
      <w:r>
        <w:rPr>
          <w:rFonts w:hint="eastAsia" w:ascii="仿宋_GB2312" w:hAnsi="仿宋_GB2312" w:eastAsia="仿宋_GB2312" w:cs="仿宋_GB2312"/>
          <w:color w:val="auto"/>
          <w:sz w:val="32"/>
          <w:szCs w:val="32"/>
        </w:rPr>
        <w:t>。</w:t>
      </w:r>
    </w:p>
    <w:p>
      <w:pPr>
        <w:spacing w:line="560" w:lineRule="exact"/>
        <w:rPr>
          <w:rFonts w:hint="eastAsia" w:ascii="仿宋_GB2312" w:hAnsi="仿宋_GB2312" w:eastAsia="仿宋_GB2312" w:cs="仿宋_GB2312"/>
          <w:strike/>
          <w:color w:val="auto"/>
          <w:sz w:val="32"/>
          <w:szCs w:val="32"/>
        </w:rPr>
      </w:pPr>
    </w:p>
    <w:p>
      <w:pPr>
        <w:spacing w:line="560" w:lineRule="exact"/>
        <w:ind w:firstLine="640"/>
        <w:rPr>
          <w:rFonts w:hint="eastAsia" w:ascii="仿宋_GB2312" w:hAnsi="仿宋_GB2312" w:eastAsia="仿宋_GB2312" w:cs="仿宋_GB2312"/>
          <w:sz w:val="32"/>
          <w:szCs w:val="32"/>
        </w:rPr>
      </w:pPr>
    </w:p>
    <w:p>
      <w:pPr>
        <w:spacing w:line="560" w:lineRule="exact"/>
        <w:ind w:firstLine="6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广州市规划和自然资源局南沙区分局</w:t>
      </w:r>
    </w:p>
    <w:p>
      <w:pPr>
        <w:spacing w:line="560" w:lineRule="exact"/>
        <w:ind w:firstLine="64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150B2"/>
    <w:rsid w:val="063B63D8"/>
    <w:rsid w:val="0A4C79D1"/>
    <w:rsid w:val="130A3A05"/>
    <w:rsid w:val="1B4F011F"/>
    <w:rsid w:val="1EE515F2"/>
    <w:rsid w:val="1F56012C"/>
    <w:rsid w:val="1FE82ACD"/>
    <w:rsid w:val="210150B2"/>
    <w:rsid w:val="2BCD5663"/>
    <w:rsid w:val="2D7350FB"/>
    <w:rsid w:val="3A756DB8"/>
    <w:rsid w:val="3D8D736B"/>
    <w:rsid w:val="4E63115A"/>
    <w:rsid w:val="58405F3F"/>
    <w:rsid w:val="625202CE"/>
    <w:rsid w:val="643B3B30"/>
    <w:rsid w:val="6AD771A6"/>
    <w:rsid w:val="6BD3085B"/>
    <w:rsid w:val="72251067"/>
    <w:rsid w:val="766F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2021-04-14T08:32:00Z</dcterms:created>
  <dc:creator>NTKO</dc:creator>
  <cp:lastModifiedBy>王笑容</cp:lastModifiedBy>
  <cp:lastPrinted>2022-01-21T08:02:04Z</cp:lastPrinted>
  <dcterms:modified xsi:type="dcterms:W3CDTF">2022-01-21T08:12:41Z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