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粤府土审（02）〔20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广东省人民政府关于广州市</w:t>
      </w:r>
      <w:r>
        <w:rPr>
          <w:rFonts w:hint="eastAsia" w:ascii="方正小标宋简体" w:hAnsi="方正小标宋简体" w:eastAsia="方正小标宋简体" w:cs="方正小标宋简体"/>
          <w:b/>
          <w:bCs w:val="0"/>
          <w:sz w:val="44"/>
          <w:szCs w:val="44"/>
          <w:lang w:eastAsia="zh-CN"/>
        </w:rPr>
        <w:t>南沙</w:t>
      </w:r>
      <w:r>
        <w:rPr>
          <w:rFonts w:hint="eastAsia" w:ascii="方正小标宋简体" w:hAnsi="方正小标宋简体" w:eastAsia="方正小标宋简体" w:cs="方正小标宋简体"/>
          <w:b/>
          <w:bCs w:val="0"/>
          <w:sz w:val="44"/>
          <w:szCs w:val="44"/>
        </w:rPr>
        <w:t>区</w:t>
      </w:r>
      <w:r>
        <w:rPr>
          <w:rFonts w:hint="eastAsia" w:ascii="方正小标宋简体" w:hAnsi="方正小标宋简体" w:eastAsia="方正小标宋简体" w:cs="方正小标宋简体"/>
          <w:b/>
          <w:bCs w:val="0"/>
          <w:sz w:val="44"/>
          <w:szCs w:val="44"/>
          <w:lang w:val="en-US" w:eastAsia="zh-CN"/>
        </w:rPr>
        <w:t>2022</w:t>
      </w:r>
      <w:r>
        <w:rPr>
          <w:rFonts w:hint="eastAsia" w:ascii="方正小标宋简体" w:hAnsi="方正小标宋简体" w:eastAsia="方正小标宋简体" w:cs="方正小标宋简体"/>
          <w:b/>
          <w:bCs w:val="0"/>
          <w:sz w:val="44"/>
          <w:szCs w:val="44"/>
        </w:rPr>
        <w:t>年度</w:t>
      </w:r>
      <w:r>
        <w:rPr>
          <w:rFonts w:hint="eastAsia" w:ascii="方正小标宋简体" w:hAnsi="方正小标宋简体" w:eastAsia="方正小标宋简体" w:cs="方正小标宋简体"/>
          <w:b/>
          <w:bCs w:val="0"/>
          <w:sz w:val="44"/>
          <w:szCs w:val="44"/>
          <w:lang w:eastAsia="zh-CN"/>
        </w:rPr>
        <w:t>第二十五</w:t>
      </w:r>
      <w:r>
        <w:rPr>
          <w:rFonts w:hint="eastAsia" w:ascii="方正小标宋简体" w:hAnsi="方正小标宋简体" w:eastAsia="方正小标宋简体" w:cs="方正小标宋简体"/>
          <w:b/>
          <w:bCs w:val="0"/>
          <w:sz w:val="44"/>
          <w:szCs w:val="44"/>
        </w:rPr>
        <w:t>批次城镇建设用地的批复</w:t>
      </w:r>
    </w:p>
    <w:p>
      <w:pPr>
        <w:widowControl/>
        <w:spacing w:line="600" w:lineRule="exact"/>
        <w:jc w:val="both"/>
        <w:textAlignment w:val="baseline"/>
        <w:rPr>
          <w:rFonts w:hint="eastAsia"/>
          <w:b/>
          <w:sz w:val="32"/>
          <w:szCs w:val="32"/>
        </w:rPr>
      </w:pPr>
    </w:p>
    <w:p>
      <w:pPr>
        <w:widowControl/>
        <w:spacing w:line="60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pPr>
        <w:widowControl/>
        <w:spacing w:line="60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w:t>
      </w:r>
      <w:r>
        <w:rPr>
          <w:rFonts w:hint="eastAsia" w:ascii="仿宋_GB2312" w:hAnsi="仿宋_GB2312" w:eastAsia="仿宋_GB2312" w:cs="仿宋_GB2312"/>
          <w:sz w:val="32"/>
          <w:szCs w:val="32"/>
          <w:lang w:eastAsia="zh-CN"/>
        </w:rPr>
        <w:t>关于审批</w:t>
      </w:r>
      <w:r>
        <w:rPr>
          <w:rFonts w:hint="eastAsia" w:ascii="仿宋_GB2312" w:hAnsi="仿宋_GB2312" w:eastAsia="仿宋_GB2312" w:cs="仿宋_GB2312"/>
          <w:sz w:val="32"/>
          <w:szCs w:val="32"/>
        </w:rPr>
        <w:t>广州市南沙区202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年度第</w:t>
      </w:r>
      <w:r>
        <w:rPr>
          <w:rFonts w:hint="eastAsia" w:ascii="仿宋_GB2312" w:hAnsi="仿宋_GB2312" w:eastAsia="仿宋_GB2312" w:cs="仿宋_GB2312"/>
          <w:sz w:val="32"/>
          <w:szCs w:val="32"/>
          <w:lang w:val="en-US" w:eastAsia="zh-CN"/>
        </w:rPr>
        <w:t>二十五</w:t>
      </w:r>
      <w:r>
        <w:rPr>
          <w:rFonts w:hint="eastAsia" w:ascii="仿宋_GB2312" w:hAnsi="仿宋_GB2312" w:eastAsia="仿宋_GB2312" w:cs="仿宋_GB2312"/>
          <w:sz w:val="32"/>
          <w:szCs w:val="32"/>
        </w:rPr>
        <w:t>批次城镇建设用地的请示》（穗规划资源（用地）南报〔2022〕</w:t>
      </w:r>
      <w:r>
        <w:rPr>
          <w:rFonts w:hint="eastAsia" w:ascii="仿宋_GB2312" w:hAnsi="仿宋_GB2312" w:eastAsia="仿宋_GB2312" w:cs="仿宋_GB2312"/>
          <w:sz w:val="32"/>
          <w:szCs w:val="32"/>
          <w:highlight w:val="none"/>
          <w:lang w:val="en-US" w:eastAsia="zh-CN"/>
        </w:rPr>
        <w:t>55</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）及相关材料已通过审核。根据《中华人民共和国土地管理法》第</w:t>
      </w:r>
      <w:r>
        <w:rPr>
          <w:rFonts w:hint="eastAsia" w:ascii="仿宋_GB2312" w:hAnsi="仿宋_GB2312" w:eastAsia="仿宋_GB2312" w:cs="仿宋_GB2312"/>
          <w:sz w:val="32"/>
          <w:szCs w:val="32"/>
          <w:lang w:val="en-US" w:eastAsia="zh-CN"/>
        </w:rPr>
        <w:t>四十四</w:t>
      </w:r>
      <w:r>
        <w:rPr>
          <w:rFonts w:hint="eastAsia" w:ascii="仿宋_GB2312" w:hAnsi="仿宋_GB2312" w:eastAsia="仿宋_GB2312" w:cs="仿宋_GB2312"/>
          <w:sz w:val="32"/>
          <w:szCs w:val="32"/>
        </w:rPr>
        <w:t>条有关规定，批复如下：</w:t>
      </w:r>
    </w:p>
    <w:p>
      <w:pPr>
        <w:widowControl/>
        <w:numPr>
          <w:ilvl w:val="0"/>
          <w:numId w:val="1"/>
        </w:numPr>
        <w:spacing w:line="560" w:lineRule="exact"/>
        <w:ind w:firstLine="645"/>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同</w:t>
      </w:r>
      <w:r>
        <w:rPr>
          <w:rFonts w:hint="eastAsia" w:ascii="仿宋_GB2312" w:hAnsi="仿宋_GB2312" w:eastAsia="仿宋_GB2312" w:cs="仿宋_GB2312"/>
          <w:sz w:val="32"/>
          <w:szCs w:val="32"/>
          <w:u w:val="none"/>
        </w:rPr>
        <w:t>意上报的农用地转用方案。同意你市将南沙区</w:t>
      </w:r>
      <w:r>
        <w:rPr>
          <w:rFonts w:hint="eastAsia" w:ascii="仿宋_GB2312" w:hAnsi="仿宋_GB2312" w:eastAsia="仿宋_GB2312" w:cs="仿宋_GB2312"/>
          <w:sz w:val="32"/>
          <w:szCs w:val="32"/>
          <w:u w:val="none"/>
          <w:lang w:val="en-US" w:eastAsia="zh-CN"/>
        </w:rPr>
        <w:t>龙穴街范围内广州市南沙区土地开发中心属下的国有</w:t>
      </w:r>
      <w:r>
        <w:rPr>
          <w:rFonts w:hint="eastAsia" w:ascii="仿宋_GB2312" w:hAnsi="仿宋_GB2312" w:eastAsia="仿宋_GB2312" w:cs="仿宋_GB2312"/>
          <w:sz w:val="32"/>
          <w:szCs w:val="32"/>
          <w:u w:val="none"/>
          <w:lang w:eastAsia="zh-CN"/>
        </w:rPr>
        <w:t>农用地</w:t>
      </w:r>
      <w:r>
        <w:rPr>
          <w:rFonts w:hint="eastAsia" w:ascii="仿宋_GB2312" w:hAnsi="仿宋_GB2312" w:eastAsia="仿宋_GB2312" w:cs="仿宋_GB2312"/>
          <w:sz w:val="32"/>
          <w:szCs w:val="32"/>
          <w:u w:val="none"/>
          <w:lang w:val="en-US" w:eastAsia="zh-CN"/>
        </w:rPr>
        <w:t>0.1913</w:t>
      </w:r>
      <w:r>
        <w:rPr>
          <w:rFonts w:hint="eastAsia" w:ascii="仿宋_GB2312" w:hAnsi="仿宋_GB2312" w:eastAsia="仿宋_GB2312" w:cs="仿宋_GB2312"/>
          <w:sz w:val="32"/>
          <w:szCs w:val="32"/>
          <w:u w:val="none"/>
        </w:rPr>
        <w:t>公顷（</w:t>
      </w:r>
      <w:r>
        <w:rPr>
          <w:rFonts w:hint="eastAsia" w:ascii="仿宋_GB2312" w:hAnsi="仿宋_GB2312" w:eastAsia="仿宋_GB2312" w:cs="仿宋_GB2312"/>
          <w:sz w:val="32"/>
          <w:szCs w:val="32"/>
          <w:u w:val="none"/>
          <w:lang w:val="en-US" w:eastAsia="zh-CN"/>
        </w:rPr>
        <w:t>含耕地0.1592公顷</w:t>
      </w:r>
      <w:r>
        <w:rPr>
          <w:rFonts w:hint="eastAsia" w:ascii="仿宋_GB2312" w:hAnsi="仿宋_GB2312" w:eastAsia="仿宋_GB2312" w:cs="仿宋_GB2312"/>
          <w:sz w:val="32"/>
          <w:szCs w:val="32"/>
          <w:u w:val="none"/>
        </w:rPr>
        <w:t>）转为建设用地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上述土地（合计0.1913公顷）</w:t>
      </w:r>
      <w:r>
        <w:rPr>
          <w:rFonts w:hint="eastAsia" w:ascii="仿宋_GB2312" w:hAnsi="仿宋_GB2312" w:eastAsia="仿宋_GB2312" w:cs="仿宋_GB2312"/>
          <w:sz w:val="32"/>
          <w:szCs w:val="32"/>
          <w:u w:val="none"/>
        </w:rPr>
        <w:t>经完善相关手续后依照规划安排作为广州市</w:t>
      </w:r>
      <w:r>
        <w:rPr>
          <w:rFonts w:hint="eastAsia" w:ascii="仿宋_GB2312" w:hAnsi="仿宋_GB2312" w:eastAsia="仿宋_GB2312" w:cs="仿宋_GB2312"/>
          <w:sz w:val="32"/>
          <w:szCs w:val="32"/>
          <w:u w:val="none"/>
          <w:lang w:eastAsia="zh-CN"/>
        </w:rPr>
        <w:t>南沙</w:t>
      </w:r>
      <w:r>
        <w:rPr>
          <w:rFonts w:hint="eastAsia" w:ascii="仿宋_GB2312" w:hAnsi="仿宋_GB2312" w:eastAsia="仿宋_GB2312" w:cs="仿宋_GB2312"/>
          <w:sz w:val="32"/>
          <w:szCs w:val="32"/>
          <w:u w:val="none"/>
        </w:rPr>
        <w:t>区城镇建设用地。</w:t>
      </w:r>
    </w:p>
    <w:p>
      <w:pPr>
        <w:widowControl/>
        <w:numPr>
          <w:ilvl w:val="0"/>
          <w:numId w:val="0"/>
        </w:numPr>
        <w:spacing w:line="560" w:lineRule="exact"/>
        <w:ind w:firstLine="632" w:firstLineChars="200"/>
        <w:textAlignment w:val="baseline"/>
        <w:rPr>
          <w:rFonts w:hint="eastAsia" w:ascii="仿宋_GB2312" w:hAnsi="仿宋_GB2312" w:eastAsia="仿宋_GB2312" w:cs="仿宋_GB2312"/>
        </w:rPr>
      </w:pPr>
      <w:r>
        <w:rPr>
          <w:rFonts w:hint="eastAsia" w:ascii="仿宋_GB2312" w:hAnsi="仿宋_GB2312" w:eastAsia="仿宋_GB2312" w:cs="仿宋_GB2312"/>
          <w:sz w:val="32"/>
          <w:szCs w:val="32"/>
          <w:lang w:eastAsia="zh-CN"/>
        </w:rPr>
        <w:t>二、请你市人民政府负责落实补充耕地</w:t>
      </w:r>
      <w:r>
        <w:rPr>
          <w:rFonts w:hint="eastAsia" w:ascii="仿宋_GB2312" w:hAnsi="仿宋_GB2312" w:eastAsia="仿宋_GB2312" w:cs="仿宋_GB2312"/>
          <w:color w:val="000000"/>
          <w:sz w:val="32"/>
          <w:szCs w:val="32"/>
          <w:highlight w:val="none"/>
          <w:lang w:val="zh-CN"/>
        </w:rPr>
        <w:t>。督促补充耕地责任单位认真落实耕地占补平衡，补充数量、质量相等的耕地，对应核销耕地数量、水田规模和标准粮食产能指标（确认信息编号：</w:t>
      </w:r>
      <w:r>
        <w:rPr>
          <w:rFonts w:hint="eastAsia" w:ascii="仿宋_GB2312" w:hAnsi="仿宋_GB2312" w:eastAsia="仿宋_GB2312" w:cs="仿宋_GB2312"/>
          <w:color w:val="000000"/>
          <w:sz w:val="32"/>
          <w:szCs w:val="32"/>
          <w:highlight w:val="none"/>
          <w:lang w:val="en-US" w:eastAsia="zh-CN"/>
        </w:rPr>
        <w:t>440000202216953009</w:t>
      </w:r>
      <w:r>
        <w:rPr>
          <w:rFonts w:hint="eastAsia" w:ascii="仿宋_GB2312" w:hAnsi="仿宋_GB2312" w:eastAsia="仿宋_GB2312" w:cs="仿宋_GB2312"/>
          <w:color w:val="000000"/>
          <w:sz w:val="32"/>
          <w:szCs w:val="32"/>
          <w:highlight w:val="none"/>
          <w:lang w:val="zh-CN"/>
        </w:rPr>
        <w:t>），落实建设占用耕地耕作层土壤剥离利用。</w:t>
      </w:r>
    </w:p>
    <w:p>
      <w:pPr>
        <w:pStyle w:val="2"/>
        <w:widowControl/>
        <w:numPr>
          <w:ilvl w:val="-1"/>
          <w:numId w:val="0"/>
        </w:numPr>
        <w:spacing w:line="600"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该批次用地在土地利用总体规划中安排为城乡建设用地</w:t>
      </w:r>
      <w:r>
        <w:rPr>
          <w:rFonts w:hint="eastAsia" w:ascii="仿宋_GB2312" w:hAnsi="仿宋_GB2312" w:eastAsia="仿宋_GB2312" w:cs="仿宋_GB2312"/>
          <w:sz w:val="32"/>
          <w:szCs w:val="32"/>
          <w:lang w:eastAsia="zh-CN"/>
        </w:rPr>
        <w:t>、交通水利用地</w:t>
      </w:r>
      <w:r>
        <w:rPr>
          <w:rFonts w:hint="eastAsia" w:ascii="仿宋_GB2312" w:hAnsi="仿宋_GB2312" w:eastAsia="仿宋_GB2312" w:cs="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及时将批后实施情况及具体项目的供地情况在省土地市场动态监测与监管系统填报，并按规定报备。</w:t>
      </w:r>
    </w:p>
    <w:p>
      <w:pPr>
        <w:widowControl/>
        <w:spacing w:line="60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、使用土地涉及有关税费的收缴或调整，请按有关规定办理。</w:t>
      </w:r>
    </w:p>
    <w:p>
      <w:pPr>
        <w:spacing w:line="560" w:lineRule="exact"/>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应按照有关规定发布公告，保障相关土地权利人的知情权。</w:t>
      </w:r>
    </w:p>
    <w:p>
      <w:pPr>
        <w:widowControl/>
        <w:spacing w:line="600" w:lineRule="exact"/>
        <w:ind w:firstLine="645"/>
        <w:textAlignment w:val="baseline"/>
        <w:rPr>
          <w:rFonts w:hint="eastAsia" w:ascii="仿宋_GB2312" w:hAnsi="仿宋_GB2312" w:eastAsia="仿宋_GB2312" w:cs="仿宋_GB2312"/>
          <w:sz w:val="32"/>
          <w:szCs w:val="32"/>
        </w:rPr>
      </w:pPr>
    </w:p>
    <w:p>
      <w:pPr>
        <w:widowControl/>
        <w:spacing w:line="60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pacing w:line="60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广东省人民政府</w:t>
      </w:r>
    </w:p>
    <w:p>
      <w:pPr>
        <w:widowControl/>
        <w:spacing w:line="600" w:lineRule="exact"/>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pStyle w:val="2"/>
        <w:jc w:val="both"/>
      </w:pPr>
    </w:p>
    <w:p>
      <w:pPr>
        <w:pStyle w:val="2"/>
        <w:jc w:val="both"/>
        <w:rPr>
          <w:rFonts w:hint="eastAsia"/>
        </w:rPr>
      </w:pPr>
    </w:p>
    <w:p>
      <w:pPr>
        <w:spacing w:line="600" w:lineRule="exact"/>
        <w:rPr>
          <w:rFonts w:hint="eastAsia"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widowControl/>
        <w:spacing w:line="600" w:lineRule="exact"/>
        <w:ind w:firstLine="645"/>
        <w:jc w:val="left"/>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抄送：国家自</w:t>
      </w:r>
      <w:r>
        <w:rPr>
          <w:rFonts w:hint="eastAsia" w:ascii="仿宋_GB2312" w:hAnsi="仿宋_GB2312" w:eastAsia="仿宋_GB2312" w:cs="仿宋_GB2312"/>
          <w:sz w:val="32"/>
          <w:szCs w:val="32"/>
          <w:lang w:val="en-US" w:eastAsia="zh-CN"/>
        </w:rPr>
        <w:t>然资源督察广州局，财政部广东监管局，省财政厅、省人力资源和社会保障厅、省自然资源厅、省农业农村厅、国家税务总局广东省税务局。</w:t>
      </w:r>
      <w:bookmarkStart w:id="0" w:name="_GoBack"/>
      <w:bookmarkEnd w:id="0"/>
    </w:p>
    <w:p>
      <w:pPr>
        <w:widowControl/>
        <w:spacing w:line="600" w:lineRule="exact"/>
        <w:ind w:firstLine="5388" w:firstLineChars="1705"/>
        <w:jc w:val="left"/>
        <w:textAlignment w:val="baseline"/>
      </w:pPr>
      <w:r>
        <w:rPr>
          <w:rFonts w:hint="eastAsia" w:ascii="仿宋_GB2312" w:hAnsi="仿宋_GB2312" w:eastAsia="仿宋_GB2312" w:cs="仿宋_GB2312"/>
          <w:sz w:val="32"/>
          <w:szCs w:val="32"/>
          <w:lang w:val="en-US" w:eastAsia="zh-CN"/>
        </w:rPr>
        <w:t>2022年12月30日印发</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4</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6FB76"/>
    <w:multiLevelType w:val="singleLevel"/>
    <w:tmpl w:val="6586F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00DD2"/>
    <w:rsid w:val="15462167"/>
    <w:rsid w:val="18F66239"/>
    <w:rsid w:val="1BDA2999"/>
    <w:rsid w:val="1D8D18D0"/>
    <w:rsid w:val="334572F0"/>
    <w:rsid w:val="4CCA43C8"/>
    <w:rsid w:val="54F8160F"/>
    <w:rsid w:val="5A023DBB"/>
    <w:rsid w:val="5C395401"/>
    <w:rsid w:val="61A44B57"/>
    <w:rsid w:val="799B6D3B"/>
    <w:rsid w:val="7DF5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kern w:val="0"/>
      <w:sz w:val="48"/>
      <w:szCs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习惯想你@依赖你</cp:lastModifiedBy>
  <dcterms:modified xsi:type="dcterms:W3CDTF">2023-02-28T08:25:53Z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