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textAlignment w:val="auto"/>
        <w:outlineLvl w:val="9"/>
        <w:rPr>
          <w:rFonts w:hint="eastAsia" w:ascii="Times New Roman" w:hAnsi="Times New Roman" w:eastAsia="仿宋_GB2312"/>
          <w:sz w:val="32"/>
          <w:szCs w:val="32"/>
          <w:lang w:val="en-US" w:eastAsia="zh-CN"/>
        </w:rPr>
      </w:pPr>
      <w:bookmarkStart w:id="0" w:name="_GoBack"/>
      <w:bookmarkEnd w:id="0"/>
      <w:r>
        <w:rPr>
          <w:rFonts w:hint="eastAsia" w:ascii="Times New Roman" w:hAnsi="Times New Roman" w:eastAsia="仿宋_GB2312"/>
          <w:sz w:val="32"/>
          <w:szCs w:val="32"/>
          <w:lang w:val="en-US" w:eastAsia="zh-CN"/>
        </w:rPr>
        <w:t>附件1：</w:t>
      </w:r>
    </w:p>
    <w:p>
      <w:pPr>
        <w:keepNext w:val="0"/>
        <w:keepLines w:val="0"/>
        <w:pageBreakBefore w:val="0"/>
        <w:kinsoku/>
        <w:wordWrap/>
        <w:overflowPunct/>
        <w:topLinePunct w:val="0"/>
        <w:autoSpaceDE/>
        <w:autoSpaceDN/>
        <w:bidi w:val="0"/>
        <w:adjustRightInd/>
        <w:spacing w:after="156" w:afterLines="50" w:line="560" w:lineRule="exact"/>
        <w:jc w:val="center"/>
        <w:textAlignment w:val="auto"/>
        <w:outlineLvl w:val="9"/>
        <w:rPr>
          <w:rFonts w:ascii="黑体" w:hAnsi="黑体" w:eastAsia="黑体" w:cs="黑体"/>
          <w:sz w:val="44"/>
          <w:szCs w:val="52"/>
        </w:rPr>
      </w:pPr>
    </w:p>
    <w:p>
      <w:pPr>
        <w:keepNext w:val="0"/>
        <w:keepLines w:val="0"/>
        <w:pageBreakBefore w:val="0"/>
        <w:kinsoku/>
        <w:wordWrap/>
        <w:overflowPunct/>
        <w:topLinePunct w:val="0"/>
        <w:autoSpaceDE/>
        <w:autoSpaceDN/>
        <w:bidi w:val="0"/>
        <w:adjustRightInd/>
        <w:spacing w:after="156" w:afterLines="50" w:line="560" w:lineRule="exact"/>
        <w:jc w:val="center"/>
        <w:textAlignment w:val="auto"/>
        <w:outlineLvl w:val="9"/>
        <w:rPr>
          <w:rFonts w:ascii="黑体" w:hAnsi="黑体" w:eastAsia="黑体" w:cs="黑体"/>
          <w:sz w:val="44"/>
          <w:szCs w:val="52"/>
        </w:rPr>
      </w:pPr>
      <w:r>
        <w:rPr>
          <w:rFonts w:hint="eastAsia" w:ascii="黑体" w:hAnsi="黑体" w:eastAsia="黑体" w:cs="黑体"/>
          <w:sz w:val="44"/>
          <w:szCs w:val="52"/>
        </w:rPr>
        <w:t>征地补偿安置方案</w:t>
      </w:r>
    </w:p>
    <w:p>
      <w:pPr>
        <w:keepNext w:val="0"/>
        <w:keepLines w:val="0"/>
        <w:pageBreakBefore w:val="0"/>
        <w:kinsoku/>
        <w:wordWrap/>
        <w:overflowPunct/>
        <w:topLinePunct w:val="0"/>
        <w:autoSpaceDE/>
        <w:autoSpaceDN/>
        <w:bidi w:val="0"/>
        <w:adjustRightInd/>
        <w:spacing w:after="156" w:afterLines="50" w:line="560" w:lineRule="exact"/>
        <w:jc w:val="center"/>
        <w:textAlignment w:val="auto"/>
        <w:outlineLvl w:val="9"/>
        <w:rPr>
          <w:rFonts w:ascii="黑体" w:hAnsi="黑体" w:eastAsia="黑体" w:cs="黑体"/>
          <w:sz w:val="44"/>
          <w:szCs w:val="52"/>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eastAsia="仿宋_GB2312"/>
          <w:sz w:val="32"/>
          <w:szCs w:val="32"/>
        </w:rPr>
      </w:pPr>
      <w:r>
        <w:rPr>
          <w:rFonts w:hint="eastAsia" w:eastAsia="仿宋_GB2312"/>
          <w:sz w:val="32"/>
          <w:szCs w:val="32"/>
        </w:rPr>
        <w:t>为实施城镇</w:t>
      </w:r>
      <w:r>
        <w:rPr>
          <w:rFonts w:hint="eastAsia" w:eastAsia="仿宋_GB2312"/>
          <w:color w:val="000000"/>
          <w:sz w:val="32"/>
          <w:szCs w:val="32"/>
        </w:rPr>
        <w:t>规</w:t>
      </w:r>
      <w:r>
        <w:rPr>
          <w:rFonts w:hint="eastAsia" w:eastAsia="仿宋_GB2312"/>
          <w:sz w:val="32"/>
          <w:szCs w:val="32"/>
        </w:rPr>
        <w:t>划，广</w:t>
      </w:r>
      <w:r>
        <w:rPr>
          <w:rFonts w:hint="eastAsia" w:eastAsia="仿宋_GB2312"/>
          <w:color w:val="000000"/>
          <w:sz w:val="32"/>
          <w:szCs w:val="32"/>
        </w:rPr>
        <w:t>州市南沙区人民政府拟征收</w:t>
      </w:r>
      <w:r>
        <w:rPr>
          <w:rFonts w:hint="eastAsia" w:ascii="Times New Roman" w:hAnsi="Times New Roman" w:eastAsia="仿宋_GB2312"/>
          <w:sz w:val="32"/>
          <w:szCs w:val="32"/>
        </w:rPr>
        <w:t>广州市南沙区大岗镇新联一股份合作经济联合社</w:t>
      </w:r>
      <w:r>
        <w:rPr>
          <w:rFonts w:ascii="Times New Roman" w:hAnsi="Times New Roman" w:eastAsia="仿宋_GB2312"/>
          <w:sz w:val="32"/>
          <w:szCs w:val="32"/>
        </w:rPr>
        <w:t>集体土地</w:t>
      </w:r>
      <w:r>
        <w:rPr>
          <w:rFonts w:hint="eastAsia" w:ascii="Times New Roman" w:hAnsi="Times New Roman" w:eastAsia="仿宋_GB2312"/>
          <w:sz w:val="32"/>
          <w:szCs w:val="32"/>
          <w:lang w:val="en-US" w:eastAsia="zh-CN"/>
        </w:rPr>
        <w:t>3.6502</w:t>
      </w:r>
      <w:r>
        <w:rPr>
          <w:rFonts w:ascii="Times New Roman" w:hAnsi="Times New Roman" w:eastAsia="仿宋_GB2312"/>
          <w:sz w:val="32"/>
          <w:szCs w:val="32"/>
        </w:rPr>
        <w:t>公顷</w:t>
      </w:r>
      <w:r>
        <w:rPr>
          <w:rFonts w:hint="eastAsia" w:ascii="Times New Roman" w:hAnsi="Times New Roman" w:eastAsia="仿宋_GB2312"/>
          <w:sz w:val="32"/>
          <w:szCs w:val="32"/>
        </w:rPr>
        <w:t>、广州市南沙区大岗镇新联二股份合作经济联合社</w:t>
      </w:r>
      <w:r>
        <w:rPr>
          <w:rFonts w:ascii="Times New Roman" w:hAnsi="Times New Roman" w:eastAsia="仿宋_GB2312"/>
          <w:sz w:val="32"/>
          <w:szCs w:val="32"/>
        </w:rPr>
        <w:t>集体土地</w:t>
      </w:r>
      <w:r>
        <w:rPr>
          <w:rFonts w:hint="eastAsia" w:ascii="Times New Roman" w:hAnsi="Times New Roman" w:eastAsia="仿宋_GB2312"/>
          <w:sz w:val="32"/>
          <w:szCs w:val="32"/>
          <w:lang w:val="en-US" w:eastAsia="zh-CN"/>
        </w:rPr>
        <w:t>1.9517</w:t>
      </w:r>
      <w:r>
        <w:rPr>
          <w:rFonts w:ascii="Times New Roman" w:hAnsi="Times New Roman" w:eastAsia="仿宋_GB2312"/>
          <w:sz w:val="32"/>
          <w:szCs w:val="32"/>
        </w:rPr>
        <w:t>公顷</w:t>
      </w:r>
      <w:r>
        <w:rPr>
          <w:rFonts w:hint="eastAsia" w:ascii="Times New Roman" w:hAnsi="Times New Roman" w:eastAsia="仿宋_GB2312"/>
          <w:sz w:val="32"/>
          <w:szCs w:val="32"/>
          <w:lang w:eastAsia="zh-CN"/>
        </w:rPr>
        <w:t>、广州市南沙区大岗镇新联一村股份合作经济社集体土地</w:t>
      </w:r>
      <w:r>
        <w:rPr>
          <w:rFonts w:hint="eastAsia" w:ascii="Times New Roman" w:hAnsi="Times New Roman" w:eastAsia="仿宋_GB2312"/>
          <w:sz w:val="32"/>
          <w:szCs w:val="32"/>
          <w:lang w:val="en-US" w:eastAsia="zh-CN"/>
        </w:rPr>
        <w:t>0.3895公顷，合计5.9914</w:t>
      </w:r>
      <w:r>
        <w:rPr>
          <w:rFonts w:ascii="Times New Roman" w:hAnsi="Times New Roman" w:eastAsia="仿宋_GB2312"/>
          <w:sz w:val="32"/>
          <w:szCs w:val="32"/>
        </w:rPr>
        <w:t>公顷</w:t>
      </w:r>
      <w:r>
        <w:rPr>
          <w:rFonts w:hint="eastAsia" w:ascii="仿宋_GB2312" w:eastAsia="仿宋_GB2312"/>
          <w:sz w:val="32"/>
          <w:szCs w:val="32"/>
        </w:rPr>
        <w:t>作为广州市南沙区</w:t>
      </w:r>
      <w:r>
        <w:rPr>
          <w:rFonts w:hint="eastAsia" w:ascii="Times New Roman" w:hAnsi="Times New Roman" w:eastAsia="仿宋_GB2312"/>
          <w:sz w:val="32"/>
          <w:szCs w:val="32"/>
          <w:lang w:val="en-US" w:eastAsia="zh-CN"/>
        </w:rPr>
        <w:t>2022</w:t>
      </w:r>
      <w:r>
        <w:rPr>
          <w:rFonts w:hint="eastAsia" w:ascii="仿宋_GB2312" w:eastAsia="仿宋_GB2312"/>
          <w:sz w:val="32"/>
          <w:szCs w:val="32"/>
        </w:rPr>
        <w:t>年度第</w:t>
      </w:r>
      <w:r>
        <w:rPr>
          <w:rFonts w:hint="eastAsia" w:ascii="仿宋_GB2312" w:eastAsia="仿宋_GB2312"/>
          <w:sz w:val="32"/>
          <w:szCs w:val="32"/>
          <w:lang w:eastAsia="zh-CN"/>
        </w:rPr>
        <w:t>六</w:t>
      </w:r>
      <w:r>
        <w:rPr>
          <w:rFonts w:hint="eastAsia" w:ascii="仿宋_GB2312" w:eastAsia="仿宋_GB2312"/>
          <w:sz w:val="32"/>
          <w:szCs w:val="32"/>
        </w:rPr>
        <w:t>批次城镇建设用地</w:t>
      </w:r>
      <w:r>
        <w:rPr>
          <w:rFonts w:hint="eastAsia" w:eastAsia="仿宋_GB2312"/>
          <w:sz w:val="32"/>
          <w:szCs w:val="32"/>
        </w:rPr>
        <w:t>。根据《中华人民共和国土地管理法》《中华人民共和国土地管理法实施条例》等规定以及广州市征收农用地区片综合地价，拟定了征地补偿安置方案，具体如下：</w:t>
      </w:r>
    </w:p>
    <w:p>
      <w:pPr>
        <w:keepNext w:val="0"/>
        <w:keepLines w:val="0"/>
        <w:pageBreakBefore w:val="0"/>
        <w:kinsoku/>
        <w:wordWrap/>
        <w:overflowPunct/>
        <w:topLinePunct w:val="0"/>
        <w:autoSpaceDE/>
        <w:autoSpaceDN/>
        <w:bidi w:val="0"/>
        <w:adjustRightInd/>
        <w:spacing w:line="560" w:lineRule="exact"/>
        <w:ind w:left="640"/>
        <w:textAlignment w:val="auto"/>
        <w:outlineLvl w:val="9"/>
        <w:rPr>
          <w:rFonts w:eastAsia="仿宋_GB2312"/>
          <w:sz w:val="32"/>
          <w:szCs w:val="32"/>
        </w:rPr>
      </w:pPr>
      <w:r>
        <w:rPr>
          <w:rFonts w:hint="eastAsia" w:eastAsia="仿宋_GB2312"/>
          <w:sz w:val="32"/>
          <w:szCs w:val="32"/>
        </w:rPr>
        <w:t>一、征收集体土地情况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eastAsia="仿宋_GB2312"/>
          <w:sz w:val="32"/>
          <w:szCs w:val="32"/>
        </w:rPr>
      </w:pPr>
      <w:r>
        <w:rPr>
          <w:rFonts w:hint="eastAsia" w:eastAsia="仿宋_GB2312"/>
          <w:sz w:val="32"/>
          <w:szCs w:val="32"/>
        </w:rPr>
        <w:t>征收集体土地总面积</w:t>
      </w:r>
      <w:r>
        <w:rPr>
          <w:rFonts w:hint="eastAsia" w:ascii="Times New Roman" w:hAnsi="Times New Roman" w:eastAsia="仿宋_GB2312"/>
          <w:sz w:val="32"/>
          <w:szCs w:val="32"/>
          <w:lang w:val="en-US" w:eastAsia="zh-CN"/>
        </w:rPr>
        <w:t>5.9914</w:t>
      </w:r>
      <w:r>
        <w:rPr>
          <w:rFonts w:hint="eastAsia" w:eastAsia="仿宋_GB2312"/>
          <w:sz w:val="32"/>
          <w:szCs w:val="32"/>
        </w:rPr>
        <w:t>公顷，</w:t>
      </w:r>
      <w:r>
        <w:rPr>
          <w:rFonts w:ascii="Times New Roman" w:hAnsi="Times New Roman" w:eastAsia="仿宋_GB2312"/>
          <w:sz w:val="32"/>
          <w:szCs w:val="32"/>
        </w:rPr>
        <w:t>根据拟征收土地现状农用地</w:t>
      </w:r>
      <w:r>
        <w:rPr>
          <w:rFonts w:hint="eastAsia" w:ascii="Times New Roman" w:hAnsi="Times New Roman" w:eastAsia="仿宋_GB2312"/>
          <w:sz w:val="32"/>
          <w:szCs w:val="32"/>
          <w:lang w:val="en-US" w:eastAsia="zh-CN"/>
        </w:rPr>
        <w:t>5.9551</w:t>
      </w:r>
      <w:r>
        <w:rPr>
          <w:rFonts w:ascii="Times New Roman" w:hAnsi="Times New Roman" w:eastAsia="仿宋_GB2312"/>
          <w:sz w:val="32"/>
          <w:szCs w:val="32"/>
        </w:rPr>
        <w:t>公顷（耕地</w:t>
      </w:r>
      <w:r>
        <w:rPr>
          <w:rFonts w:hint="eastAsia" w:ascii="Times New Roman" w:hAnsi="Times New Roman" w:eastAsia="仿宋_GB2312"/>
          <w:sz w:val="32"/>
          <w:szCs w:val="32"/>
          <w:lang w:val="en-US" w:eastAsia="zh-CN"/>
        </w:rPr>
        <w:t>0.1109</w:t>
      </w:r>
      <w:r>
        <w:rPr>
          <w:rFonts w:ascii="Times New Roman" w:hAnsi="Times New Roman" w:eastAsia="仿宋_GB2312"/>
          <w:sz w:val="32"/>
          <w:szCs w:val="32"/>
        </w:rPr>
        <w:t>公顷</w:t>
      </w:r>
      <w:r>
        <w:rPr>
          <w:rFonts w:hint="eastAsia" w:ascii="Times New Roman" w:hAnsi="Times New Roman" w:eastAsia="仿宋_GB2312"/>
          <w:sz w:val="32"/>
          <w:szCs w:val="32"/>
          <w:lang w:eastAsia="zh-CN"/>
        </w:rPr>
        <w:t>、园地</w:t>
      </w:r>
      <w:r>
        <w:rPr>
          <w:rFonts w:hint="eastAsia" w:ascii="Times New Roman" w:hAnsi="Times New Roman" w:eastAsia="仿宋_GB2312"/>
          <w:sz w:val="32"/>
          <w:szCs w:val="32"/>
          <w:lang w:val="en-US" w:eastAsia="zh-CN"/>
        </w:rPr>
        <w:t>0.2384公顷、林地0.0532公顷、其他农用地5.5526公顷</w:t>
      </w:r>
      <w:r>
        <w:rPr>
          <w:rFonts w:hint="eastAsia" w:ascii="Times New Roman" w:hAnsi="Times New Roman" w:eastAsia="仿宋_GB2312"/>
          <w:sz w:val="32"/>
          <w:szCs w:val="32"/>
        </w:rPr>
        <w:t>）</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建设用地</w:t>
      </w:r>
      <w:r>
        <w:rPr>
          <w:rFonts w:hint="eastAsia" w:ascii="Times New Roman" w:hAnsi="Times New Roman" w:eastAsia="仿宋_GB2312"/>
          <w:sz w:val="32"/>
          <w:szCs w:val="32"/>
          <w:lang w:val="en-US" w:eastAsia="zh-CN"/>
        </w:rPr>
        <w:t>0.0159</w:t>
      </w:r>
      <w:r>
        <w:rPr>
          <w:rFonts w:hint="eastAsia" w:ascii="仿宋_GB2312" w:eastAsia="仿宋_GB2312"/>
          <w:color w:val="000000" w:themeColor="text1"/>
          <w:sz w:val="32"/>
          <w:szCs w:val="32"/>
          <w:lang w:val="en-US" w:eastAsia="zh-CN"/>
          <w14:textFill>
            <w14:solidFill>
              <w14:schemeClr w14:val="tx1"/>
            </w14:solidFill>
          </w14:textFill>
        </w:rPr>
        <w:t>公顷，</w:t>
      </w:r>
      <w:r>
        <w:rPr>
          <w:rFonts w:hint="eastAsia" w:ascii="仿宋_GB2312" w:eastAsia="仿宋_GB2312"/>
          <w:color w:val="000000" w:themeColor="text1"/>
          <w:sz w:val="32"/>
          <w:szCs w:val="32"/>
          <w:lang w:eastAsia="zh-CN"/>
          <w14:textFill>
            <w14:solidFill>
              <w14:schemeClr w14:val="tx1"/>
            </w14:solidFill>
          </w14:textFill>
        </w:rPr>
        <w:t>未利用地</w:t>
      </w:r>
      <w:r>
        <w:rPr>
          <w:rFonts w:hint="eastAsia" w:ascii="Times New Roman" w:hAnsi="Times New Roman" w:eastAsia="仿宋_GB2312"/>
          <w:sz w:val="32"/>
          <w:szCs w:val="32"/>
          <w:lang w:val="en-US" w:eastAsia="zh-CN"/>
        </w:rPr>
        <w:t>0.0204</w:t>
      </w:r>
      <w:r>
        <w:rPr>
          <w:rFonts w:hint="eastAsia" w:ascii="仿宋_GB2312" w:eastAsia="仿宋_GB2312"/>
          <w:color w:val="000000" w:themeColor="text1"/>
          <w:sz w:val="32"/>
          <w:szCs w:val="32"/>
          <w:lang w:val="en-US" w:eastAsia="zh-CN"/>
          <w14:textFill>
            <w14:solidFill>
              <w14:schemeClr w14:val="tx1"/>
            </w14:solidFill>
          </w14:textFill>
        </w:rPr>
        <w:t>公顷</w:t>
      </w:r>
      <w:r>
        <w:rPr>
          <w:rFonts w:ascii="Times New Roman" w:hAnsi="Times New Roman" w:eastAsia="仿宋_GB2312"/>
          <w:sz w:val="32"/>
          <w:szCs w:val="32"/>
        </w:rPr>
        <w:t>。根据用地报批</w:t>
      </w:r>
      <w:r>
        <w:rPr>
          <w:rFonts w:hint="eastAsia" w:ascii="Times New Roman" w:hAnsi="Times New Roman" w:eastAsia="仿宋_GB2312"/>
          <w:sz w:val="32"/>
          <w:szCs w:val="32"/>
        </w:rPr>
        <w:t>地类相关规则</w:t>
      </w:r>
      <w:r>
        <w:rPr>
          <w:rFonts w:ascii="Times New Roman" w:hAnsi="Times New Roman" w:eastAsia="仿宋_GB2312"/>
          <w:sz w:val="32"/>
          <w:szCs w:val="32"/>
        </w:rPr>
        <w:t>，上述征收地块报批地类为</w:t>
      </w:r>
      <w:r>
        <w:rPr>
          <w:rFonts w:hint="eastAsia" w:ascii="仿宋_GB2312" w:eastAsia="仿宋_GB2312"/>
          <w:color w:val="000000"/>
          <w:sz w:val="32"/>
          <w:szCs w:val="32"/>
          <w:lang w:eastAsia="zh-CN"/>
        </w:rPr>
        <w:t>农用地</w:t>
      </w:r>
      <w:r>
        <w:rPr>
          <w:rFonts w:hint="eastAsia" w:ascii="Times New Roman" w:hAnsi="Times New Roman" w:eastAsia="仿宋_GB2312"/>
          <w:sz w:val="32"/>
          <w:szCs w:val="32"/>
          <w:lang w:val="en-US" w:eastAsia="zh-CN"/>
        </w:rPr>
        <w:t>5.9710</w:t>
      </w:r>
      <w:r>
        <w:rPr>
          <w:rFonts w:hint="eastAsia" w:ascii="仿宋_GB2312" w:eastAsia="仿宋_GB2312"/>
          <w:color w:val="000000"/>
          <w:sz w:val="32"/>
          <w:szCs w:val="32"/>
          <w:lang w:val="en-US" w:eastAsia="zh-CN"/>
        </w:rPr>
        <w:t>公顷</w:t>
      </w:r>
      <w:r>
        <w:rPr>
          <w:rFonts w:hint="eastAsia" w:ascii="仿宋_GB2312" w:eastAsia="仿宋_GB2312"/>
          <w:color w:val="000000"/>
          <w:sz w:val="32"/>
          <w:szCs w:val="32"/>
        </w:rPr>
        <w:t>（耕地</w:t>
      </w:r>
      <w:r>
        <w:rPr>
          <w:rFonts w:hint="eastAsia" w:ascii="Times New Roman" w:hAnsi="Times New Roman" w:eastAsia="仿宋_GB2312"/>
          <w:sz w:val="32"/>
          <w:szCs w:val="32"/>
          <w:lang w:val="en-US" w:eastAsia="zh-CN"/>
        </w:rPr>
        <w:t>0.1109</w:t>
      </w:r>
      <w:r>
        <w:rPr>
          <w:rFonts w:hint="eastAsia" w:ascii="仿宋_GB2312" w:eastAsia="仿宋_GB2312"/>
          <w:color w:val="000000"/>
          <w:sz w:val="32"/>
          <w:szCs w:val="32"/>
        </w:rPr>
        <w:t>公顷</w:t>
      </w:r>
      <w:r>
        <w:rPr>
          <w:rFonts w:hint="eastAsia" w:ascii="仿宋_GB2312" w:eastAsia="仿宋_GB2312"/>
          <w:color w:val="000000"/>
          <w:sz w:val="32"/>
          <w:szCs w:val="32"/>
          <w:lang w:eastAsia="zh-CN"/>
        </w:rPr>
        <w:t>、</w:t>
      </w:r>
      <w:r>
        <w:rPr>
          <w:rFonts w:hint="eastAsia" w:ascii="Times New Roman" w:hAnsi="Times New Roman" w:eastAsia="仿宋_GB2312"/>
          <w:sz w:val="32"/>
          <w:szCs w:val="32"/>
          <w:lang w:eastAsia="zh-CN"/>
        </w:rPr>
        <w:t>园地</w:t>
      </w:r>
      <w:r>
        <w:rPr>
          <w:rFonts w:hint="eastAsia" w:ascii="Times New Roman" w:hAnsi="Times New Roman" w:eastAsia="仿宋_GB2312"/>
          <w:sz w:val="32"/>
          <w:szCs w:val="32"/>
          <w:lang w:val="en-US" w:eastAsia="zh-CN"/>
        </w:rPr>
        <w:t>0.2384公顷、林地0.0532公顷、其他农用地5.5685公顷</w:t>
      </w:r>
      <w:r>
        <w:rPr>
          <w:rFonts w:hint="eastAsia" w:ascii="仿宋_GB2312" w:eastAsia="仿宋_GB2312"/>
          <w:color w:val="000000"/>
          <w:sz w:val="32"/>
          <w:szCs w:val="32"/>
        </w:rPr>
        <w:t>），</w:t>
      </w:r>
      <w:r>
        <w:rPr>
          <w:rFonts w:hint="eastAsia" w:ascii="仿宋_GB2312" w:eastAsia="仿宋_GB2312"/>
          <w:color w:val="000000"/>
          <w:sz w:val="32"/>
          <w:szCs w:val="32"/>
          <w:lang w:eastAsia="zh-CN"/>
        </w:rPr>
        <w:t>未利用地</w:t>
      </w:r>
      <w:r>
        <w:rPr>
          <w:rFonts w:hint="eastAsia" w:ascii="Times New Roman" w:hAnsi="Times New Roman" w:eastAsia="仿宋_GB2312"/>
          <w:sz w:val="32"/>
          <w:szCs w:val="32"/>
          <w:lang w:val="en-US" w:eastAsia="zh-CN"/>
        </w:rPr>
        <w:t>0.0204</w:t>
      </w:r>
      <w:r>
        <w:rPr>
          <w:rFonts w:hint="eastAsia" w:ascii="仿宋_GB2312" w:eastAsia="仿宋_GB2312"/>
          <w:color w:val="000000"/>
          <w:sz w:val="32"/>
          <w:szCs w:val="32"/>
          <w:lang w:val="en-US" w:eastAsia="zh-CN"/>
        </w:rPr>
        <w:t>公顷</w:t>
      </w:r>
      <w:r>
        <w:rPr>
          <w:rFonts w:ascii="Times New Roman" w:hAnsi="Times New Roman" w:eastAsia="仿宋_GB2312"/>
          <w:sz w:val="32"/>
          <w:szCs w:val="32"/>
        </w:rPr>
        <w:t>。</w:t>
      </w:r>
      <w:r>
        <w:rPr>
          <w:rFonts w:hint="eastAsia" w:eastAsia="仿宋_GB2312"/>
          <w:sz w:val="32"/>
          <w:szCs w:val="32"/>
        </w:rPr>
        <w:t>具体结果以用地批准结果为准。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outlineLvl w:val="9"/>
      </w:pPr>
      <w:r>
        <w:rPr>
          <w:rFonts w:hint="eastAsia" w:eastAsia="仿宋_GB2312"/>
          <w:sz w:val="32"/>
          <w:szCs w:val="32"/>
          <w:lang w:eastAsia="zh-CN"/>
        </w:rPr>
        <w:t>二、</w:t>
      </w:r>
      <w:r>
        <w:rPr>
          <w:rFonts w:hint="eastAsia" w:eastAsia="仿宋_GB2312"/>
          <w:sz w:val="32"/>
          <w:szCs w:val="32"/>
        </w:rPr>
        <w:t>土地补偿费与安置补偿费</w:t>
      </w:r>
    </w:p>
    <w:p>
      <w:pPr>
        <w:keepNext w:val="0"/>
        <w:keepLines w:val="0"/>
        <w:pageBreakBefore w:val="0"/>
        <w:kinsoku/>
        <w:wordWrap/>
        <w:overflowPunct/>
        <w:topLinePunct w:val="0"/>
        <w:autoSpaceDE/>
        <w:autoSpaceDN/>
        <w:bidi w:val="0"/>
        <w:adjustRightInd/>
        <w:spacing w:before="156" w:beforeLines="50" w:line="560" w:lineRule="exact"/>
        <w:jc w:val="center"/>
        <w:textAlignment w:val="auto"/>
        <w:outlineLvl w:val="9"/>
        <w:rPr>
          <w:rFonts w:eastAsia="仿宋_GB2312"/>
          <w:b/>
          <w:bCs/>
          <w:sz w:val="28"/>
          <w:szCs w:val="28"/>
        </w:rPr>
      </w:pPr>
      <w:r>
        <w:rPr>
          <w:rFonts w:hint="eastAsia" w:eastAsia="仿宋_GB2312"/>
          <w:b/>
          <w:bCs/>
          <w:sz w:val="28"/>
          <w:szCs w:val="28"/>
        </w:rPr>
        <w:t>土地补偿费与安置补偿费一览表</w:t>
      </w:r>
    </w:p>
    <w:p>
      <w:pPr>
        <w:keepNext w:val="0"/>
        <w:keepLines w:val="0"/>
        <w:pageBreakBefore w:val="0"/>
        <w:kinsoku/>
        <w:wordWrap/>
        <w:overflowPunct/>
        <w:topLinePunct w:val="0"/>
        <w:autoSpaceDE/>
        <w:autoSpaceDN/>
        <w:bidi w:val="0"/>
        <w:adjustRightInd/>
        <w:spacing w:line="560" w:lineRule="exact"/>
        <w:jc w:val="right"/>
        <w:textAlignment w:val="auto"/>
        <w:outlineLvl w:val="9"/>
        <w:rPr>
          <w:rFonts w:eastAsia="仿宋_GB2312"/>
          <w:sz w:val="22"/>
        </w:rPr>
      </w:pPr>
      <w:r>
        <w:rPr>
          <w:rFonts w:hint="eastAsia" w:eastAsia="仿宋_GB2312"/>
          <w:sz w:val="22"/>
        </w:rPr>
        <w:t>（单位：公顷、万元/公顷、万元）</w:t>
      </w:r>
    </w:p>
    <w:tbl>
      <w:tblPr>
        <w:tblStyle w:val="6"/>
        <w:tblpPr w:leftFromText="180" w:rightFromText="180" w:vertAnchor="text" w:horzAnchor="page" w:tblpX="2056" w:tblpY="365"/>
        <w:tblOverlap w:val="never"/>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313"/>
        <w:gridCol w:w="937"/>
        <w:gridCol w:w="1021"/>
        <w:gridCol w:w="896"/>
        <w:gridCol w:w="1034"/>
        <w:gridCol w:w="923"/>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 w:hRule="atLeast"/>
        </w:trPr>
        <w:tc>
          <w:tcPr>
            <w:tcW w:w="1391" w:type="dxa"/>
            <w:vMerge w:val="restar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单位</w:t>
            </w:r>
          </w:p>
        </w:tc>
        <w:tc>
          <w:tcPr>
            <w:tcW w:w="1313" w:type="dxa"/>
            <w:vMerge w:val="restar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土地类别</w:t>
            </w:r>
          </w:p>
        </w:tc>
        <w:tc>
          <w:tcPr>
            <w:tcW w:w="937" w:type="dxa"/>
            <w:vMerge w:val="restar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面积</w:t>
            </w:r>
          </w:p>
        </w:tc>
        <w:tc>
          <w:tcPr>
            <w:tcW w:w="1917" w:type="dxa"/>
            <w:gridSpan w:val="2"/>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土地补偿费</w:t>
            </w:r>
          </w:p>
        </w:tc>
        <w:tc>
          <w:tcPr>
            <w:tcW w:w="1957" w:type="dxa"/>
            <w:gridSpan w:val="2"/>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安置补偿费</w:t>
            </w:r>
          </w:p>
        </w:tc>
        <w:tc>
          <w:tcPr>
            <w:tcW w:w="1293" w:type="dxa"/>
            <w:vMerge w:val="restar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 w:hRule="atLeast"/>
        </w:trPr>
        <w:tc>
          <w:tcPr>
            <w:tcW w:w="1391" w:type="dxa"/>
            <w:vMerge w:val="continue"/>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p>
        </w:tc>
        <w:tc>
          <w:tcPr>
            <w:tcW w:w="1313" w:type="dxa"/>
            <w:vMerge w:val="continue"/>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p>
        </w:tc>
        <w:tc>
          <w:tcPr>
            <w:tcW w:w="937" w:type="dxa"/>
            <w:vMerge w:val="continue"/>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p>
        </w:tc>
        <w:tc>
          <w:tcPr>
            <w:tcW w:w="1021"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补偿</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标准</w:t>
            </w:r>
          </w:p>
        </w:tc>
        <w:tc>
          <w:tcPr>
            <w:tcW w:w="896"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补偿</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金额</w:t>
            </w:r>
          </w:p>
        </w:tc>
        <w:tc>
          <w:tcPr>
            <w:tcW w:w="1034"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补偿</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标准</w:t>
            </w:r>
          </w:p>
        </w:tc>
        <w:tc>
          <w:tcPr>
            <w:tcW w:w="92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补偿</w:t>
            </w:r>
          </w:p>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r>
              <w:rPr>
                <w:rFonts w:hint="eastAsia" w:eastAsia="仿宋_GB2312"/>
                <w:b/>
                <w:bCs/>
                <w:sz w:val="24"/>
              </w:rPr>
              <w:t>金额</w:t>
            </w:r>
          </w:p>
        </w:tc>
        <w:tc>
          <w:tcPr>
            <w:tcW w:w="1293" w:type="dxa"/>
            <w:vMerge w:val="continue"/>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1391"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sz w:val="24"/>
              </w:rPr>
            </w:pPr>
            <w:r>
              <w:rPr>
                <w:rFonts w:hint="eastAsia" w:ascii="Times New Roman" w:hAnsi="Times New Roman" w:eastAsia="仿宋_GB2312"/>
                <w:sz w:val="28"/>
                <w:szCs w:val="28"/>
              </w:rPr>
              <w:t>大岗镇新联一股份合作经济联合社</w:t>
            </w:r>
          </w:p>
        </w:tc>
        <w:tc>
          <w:tcPr>
            <w:tcW w:w="131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eastAsia="仿宋_GB2312"/>
                <w:sz w:val="24"/>
              </w:rPr>
            </w:pPr>
            <w:r>
              <w:rPr>
                <w:rFonts w:hint="eastAsia" w:eastAsia="仿宋_GB2312"/>
                <w:sz w:val="24"/>
              </w:rPr>
              <w:t>农用地</w:t>
            </w:r>
          </w:p>
        </w:tc>
        <w:tc>
          <w:tcPr>
            <w:tcW w:w="937"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3.6502</w:t>
            </w:r>
          </w:p>
        </w:tc>
        <w:tc>
          <w:tcPr>
            <w:tcW w:w="1021"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197.25</w:t>
            </w:r>
          </w:p>
        </w:tc>
        <w:tc>
          <w:tcPr>
            <w:tcW w:w="896"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720.0020</w:t>
            </w:r>
          </w:p>
        </w:tc>
        <w:tc>
          <w:tcPr>
            <w:tcW w:w="1034"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197.25</w:t>
            </w:r>
          </w:p>
        </w:tc>
        <w:tc>
          <w:tcPr>
            <w:tcW w:w="92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720.0020</w:t>
            </w:r>
          </w:p>
        </w:tc>
        <w:tc>
          <w:tcPr>
            <w:tcW w:w="129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1440.0040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391" w:type="dxa"/>
            <w:vMerge w:val="restart"/>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eastAsia="仿宋_GB2312"/>
                <w:color w:val="000000"/>
                <w:sz w:val="18"/>
              </w:rPr>
            </w:pPr>
            <w:r>
              <w:rPr>
                <w:rFonts w:hint="eastAsia" w:ascii="Times New Roman" w:hAnsi="Times New Roman" w:eastAsia="仿宋_GB2312"/>
                <w:sz w:val="28"/>
                <w:szCs w:val="28"/>
              </w:rPr>
              <w:t>大岗镇新联二股份合作经济联合社</w:t>
            </w:r>
          </w:p>
        </w:tc>
        <w:tc>
          <w:tcPr>
            <w:tcW w:w="131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eastAsia="仿宋_GB2312"/>
                <w:sz w:val="24"/>
              </w:rPr>
            </w:pPr>
            <w:r>
              <w:rPr>
                <w:rFonts w:hint="eastAsia" w:eastAsia="仿宋_GB2312"/>
                <w:sz w:val="24"/>
              </w:rPr>
              <w:t>农用地</w:t>
            </w:r>
          </w:p>
        </w:tc>
        <w:tc>
          <w:tcPr>
            <w:tcW w:w="937"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1.9313</w:t>
            </w:r>
          </w:p>
        </w:tc>
        <w:tc>
          <w:tcPr>
            <w:tcW w:w="1021"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197.25</w:t>
            </w:r>
          </w:p>
        </w:tc>
        <w:tc>
          <w:tcPr>
            <w:tcW w:w="896"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380.9490</w:t>
            </w:r>
          </w:p>
        </w:tc>
        <w:tc>
          <w:tcPr>
            <w:tcW w:w="1034"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197.25</w:t>
            </w:r>
          </w:p>
        </w:tc>
        <w:tc>
          <w:tcPr>
            <w:tcW w:w="92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color w:val="000000" w:themeColor="text1"/>
                <w:sz w:val="24"/>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380.9490</w:t>
            </w:r>
          </w:p>
        </w:tc>
        <w:tc>
          <w:tcPr>
            <w:tcW w:w="129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761.8980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1391" w:type="dxa"/>
            <w:vMerge w:val="continue"/>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sz w:val="28"/>
                <w:szCs w:val="28"/>
              </w:rPr>
            </w:pPr>
          </w:p>
        </w:tc>
        <w:tc>
          <w:tcPr>
            <w:tcW w:w="131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eastAsia="仿宋_GB2312"/>
                <w:sz w:val="24"/>
              </w:rPr>
            </w:pPr>
            <w:r>
              <w:rPr>
                <w:rFonts w:hint="eastAsia" w:eastAsia="仿宋_GB2312"/>
                <w:sz w:val="24"/>
                <w:lang w:eastAsia="zh-CN"/>
              </w:rPr>
              <w:t>未利用地</w:t>
            </w:r>
          </w:p>
        </w:tc>
        <w:tc>
          <w:tcPr>
            <w:tcW w:w="937"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0.0204</w:t>
            </w:r>
          </w:p>
        </w:tc>
        <w:tc>
          <w:tcPr>
            <w:tcW w:w="1021"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394.5</w:t>
            </w:r>
          </w:p>
        </w:tc>
        <w:tc>
          <w:tcPr>
            <w:tcW w:w="896"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8.0478</w:t>
            </w:r>
          </w:p>
        </w:tc>
        <w:tc>
          <w:tcPr>
            <w:tcW w:w="1034"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pPr>
            <w:r>
              <w:rPr>
                <w:rFonts w:hint="eastAsia" w:ascii="Times New Roman" w:hAnsi="Times New Roman" w:eastAsia="仿宋_GB2312"/>
                <w:color w:val="000000" w:themeColor="text1"/>
                <w:kern w:val="0"/>
                <w:sz w:val="24"/>
                <w:szCs w:val="24"/>
                <w:lang w:val="en-US" w:eastAsia="zh-CN" w:bidi="ar"/>
                <w14:textFill>
                  <w14:solidFill>
                    <w14:schemeClr w14:val="tx1"/>
                  </w14:solidFill>
                </w14:textFill>
              </w:rPr>
              <w:t>0</w:t>
            </w:r>
          </w:p>
        </w:tc>
        <w:tc>
          <w:tcPr>
            <w:tcW w:w="92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0</w:t>
            </w:r>
          </w:p>
        </w:tc>
        <w:tc>
          <w:tcPr>
            <w:tcW w:w="129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8.0478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trPr>
        <w:tc>
          <w:tcPr>
            <w:tcW w:w="1391"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ascii="Times New Roman" w:hAnsi="Times New Roman" w:eastAsia="仿宋_GB2312"/>
                <w:sz w:val="28"/>
                <w:szCs w:val="28"/>
              </w:rPr>
            </w:pPr>
            <w:r>
              <w:rPr>
                <w:rFonts w:hint="eastAsia" w:ascii="Times New Roman" w:hAnsi="Times New Roman" w:eastAsia="仿宋_GB2312"/>
                <w:sz w:val="28"/>
                <w:szCs w:val="28"/>
                <w:lang w:eastAsia="zh-CN"/>
              </w:rPr>
              <w:t>大岗镇新联一村股份合作经济社</w:t>
            </w:r>
          </w:p>
        </w:tc>
        <w:tc>
          <w:tcPr>
            <w:tcW w:w="131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eastAsia" w:eastAsia="仿宋_GB2312"/>
                <w:sz w:val="24"/>
              </w:rPr>
            </w:pPr>
            <w:r>
              <w:rPr>
                <w:rFonts w:hint="eastAsia" w:eastAsia="仿宋_GB2312"/>
                <w:sz w:val="24"/>
              </w:rPr>
              <w:t>农用地</w:t>
            </w:r>
          </w:p>
        </w:tc>
        <w:tc>
          <w:tcPr>
            <w:tcW w:w="937"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0.3895</w:t>
            </w:r>
          </w:p>
        </w:tc>
        <w:tc>
          <w:tcPr>
            <w:tcW w:w="1021"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197.25</w:t>
            </w:r>
          </w:p>
        </w:tc>
        <w:tc>
          <w:tcPr>
            <w:tcW w:w="896"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76.8289</w:t>
            </w:r>
          </w:p>
        </w:tc>
        <w:tc>
          <w:tcPr>
            <w:tcW w:w="1034"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ascii="Times New Roman" w:hAnsi="Times New Roman" w:eastAsia="仿宋_GB2312"/>
                <w:color w:val="000000" w:themeColor="text1"/>
                <w:kern w:val="0"/>
                <w:sz w:val="24"/>
                <w:szCs w:val="24"/>
                <w:lang w:bidi="ar"/>
                <w14:textFill>
                  <w14:solidFill>
                    <w14:schemeClr w14:val="tx1"/>
                  </w14:solidFill>
                </w14:textFill>
              </w:rPr>
            </w:pPr>
            <w:r>
              <w:rPr>
                <w:rFonts w:ascii="Times New Roman" w:hAnsi="Times New Roman" w:eastAsia="仿宋_GB2312"/>
                <w:color w:val="000000" w:themeColor="text1"/>
                <w:kern w:val="0"/>
                <w:sz w:val="24"/>
                <w:szCs w:val="24"/>
                <w:lang w:bidi="ar"/>
                <w14:textFill>
                  <w14:solidFill>
                    <w14:schemeClr w14:val="tx1"/>
                  </w14:solidFill>
                </w14:textFill>
              </w:rPr>
              <w:t>197.25</w:t>
            </w:r>
          </w:p>
        </w:tc>
        <w:tc>
          <w:tcPr>
            <w:tcW w:w="92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76.8289</w:t>
            </w:r>
          </w:p>
        </w:tc>
        <w:tc>
          <w:tcPr>
            <w:tcW w:w="129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color w:val="000000" w:themeColor="text1"/>
                <w:sz w:val="24"/>
                <w:lang w:val="en-US" w:eastAsia="zh-CN"/>
                <w14:textFill>
                  <w14:solidFill>
                    <w14:schemeClr w14:val="tx1"/>
                  </w14:solidFill>
                </w14:textFill>
              </w:rPr>
            </w:pPr>
            <w:r>
              <w:rPr>
                <w:rFonts w:hint="eastAsia" w:ascii="Times New Roman" w:hAnsi="Times New Roman" w:eastAsia="仿宋_GB2312"/>
                <w:color w:val="000000" w:themeColor="text1"/>
                <w:sz w:val="24"/>
                <w:lang w:val="en-US" w:eastAsia="zh-CN"/>
                <w14:textFill>
                  <w14:solidFill>
                    <w14:schemeClr w14:val="tx1"/>
                  </w14:solidFill>
                </w14:textFill>
              </w:rPr>
              <w:t>153.6578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7515" w:type="dxa"/>
            <w:gridSpan w:val="7"/>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土地补偿费和安置补偿费合计</w:t>
            </w:r>
          </w:p>
        </w:tc>
        <w:tc>
          <w:tcPr>
            <w:tcW w:w="1293" w:type="dxa"/>
            <w:shd w:val="clear" w:color="auto" w:fill="auto"/>
            <w:vAlign w:val="center"/>
          </w:tcPr>
          <w:p>
            <w:pPr>
              <w:keepNext w:val="0"/>
              <w:keepLines w:val="0"/>
              <w:pageBreakBefore w:val="0"/>
              <w:kinsoku/>
              <w:wordWrap/>
              <w:overflowPunct/>
              <w:topLinePunct w:val="0"/>
              <w:autoSpaceDE/>
              <w:autoSpaceDN/>
              <w:bidi w:val="0"/>
              <w:adjustRightInd/>
              <w:spacing w:line="560" w:lineRule="exact"/>
              <w:jc w:val="center"/>
              <w:textAlignment w:val="auto"/>
              <w:outlineLvl w:val="9"/>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2363.6076</w:t>
            </w:r>
          </w:p>
        </w:tc>
      </w:tr>
    </w:tbl>
    <w:p>
      <w:pPr>
        <w:keepNext w:val="0"/>
        <w:keepLines w:val="0"/>
        <w:pageBreakBefore w:val="0"/>
        <w:kinsoku/>
        <w:wordWrap/>
        <w:overflowPunct/>
        <w:topLinePunct w:val="0"/>
        <w:autoSpaceDE/>
        <w:autoSpaceDN/>
        <w:bidi w:val="0"/>
        <w:adjustRightInd/>
        <w:spacing w:before="156" w:beforeLines="50" w:line="560" w:lineRule="exact"/>
        <w:ind w:firstLine="640" w:firstLineChars="200"/>
        <w:textAlignment w:val="auto"/>
        <w:outlineLvl w:val="9"/>
        <w:rPr>
          <w:rFonts w:eastAsia="仿宋_GB2312"/>
          <w:sz w:val="32"/>
          <w:szCs w:val="32"/>
        </w:rPr>
      </w:pPr>
      <w:r>
        <w:rPr>
          <w:rFonts w:hint="eastAsia" w:eastAsia="仿宋_GB2312"/>
          <w:sz w:val="32"/>
          <w:szCs w:val="32"/>
        </w:rPr>
        <w:t>涉及到房屋拆迁的，按照广州市南沙区人民政府有关规定的标准进行补偿安置。</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eastAsia="仿宋_GB2312"/>
          <w:sz w:val="32"/>
          <w:szCs w:val="32"/>
        </w:rPr>
      </w:pPr>
      <w:r>
        <w:rPr>
          <w:rFonts w:hint="eastAsia" w:eastAsia="仿宋_GB2312"/>
          <w:sz w:val="32"/>
          <w:szCs w:val="32"/>
        </w:rPr>
        <w:t>三、青苗补偿费及地上附着物补偿费。</w:t>
      </w:r>
    </w:p>
    <w:p>
      <w:pPr>
        <w:keepNext w:val="0"/>
        <w:keepLines w:val="0"/>
        <w:pageBreakBefore w:val="0"/>
        <w:kinsoku/>
        <w:wordWrap/>
        <w:overflowPunct/>
        <w:topLinePunct w:val="0"/>
        <w:autoSpaceDE/>
        <w:autoSpaceDN/>
        <w:bidi w:val="0"/>
        <w:adjustRightInd/>
        <w:spacing w:line="560" w:lineRule="exact"/>
        <w:ind w:firstLine="640" w:firstLineChars="200"/>
        <w:textAlignment w:val="auto"/>
        <w:outlineLvl w:val="9"/>
        <w:rPr>
          <w:rFonts w:eastAsia="仿宋_GB2312"/>
          <w:color w:val="000000"/>
          <w:sz w:val="32"/>
          <w:szCs w:val="32"/>
        </w:rPr>
      </w:pPr>
      <w:r>
        <w:rPr>
          <w:rFonts w:hint="eastAsia" w:eastAsia="仿宋_GB2312"/>
          <w:sz w:val="32"/>
          <w:szCs w:val="32"/>
        </w:rPr>
        <w:t>征地范围内的青苗补偿费及地上附着物补偿费等其他补偿费用按政府有关规定进行补偿。</w:t>
      </w:r>
    </w:p>
    <w:p>
      <w:pPr>
        <w:keepNext w:val="0"/>
        <w:keepLines w:val="0"/>
        <w:pageBreakBefore w:val="0"/>
        <w:kinsoku/>
        <w:wordWrap/>
        <w:overflowPunct/>
        <w:topLinePunct w:val="0"/>
        <w:autoSpaceDE/>
        <w:autoSpaceDN/>
        <w:bidi w:val="0"/>
        <w:adjustRightInd/>
        <w:spacing w:line="560" w:lineRule="exact"/>
        <w:ind w:left="640"/>
        <w:textAlignment w:val="auto"/>
        <w:outlineLvl w:val="9"/>
        <w:rPr>
          <w:rFonts w:eastAsia="仿宋_GB2312"/>
          <w:sz w:val="32"/>
          <w:szCs w:val="32"/>
        </w:rPr>
      </w:pPr>
      <w:r>
        <w:rPr>
          <w:rFonts w:hint="eastAsia" w:eastAsia="仿宋_GB2312"/>
          <w:sz w:val="32"/>
          <w:szCs w:val="32"/>
        </w:rPr>
        <w:t>四、安置措施情况</w:t>
      </w:r>
    </w:p>
    <w:p>
      <w:pPr>
        <w:keepNext w:val="0"/>
        <w:keepLines w:val="0"/>
        <w:pageBreakBefore w:val="0"/>
        <w:kinsoku/>
        <w:wordWrap/>
        <w:overflowPunct/>
        <w:topLinePunct w:val="0"/>
        <w:autoSpaceDE/>
        <w:autoSpaceDN/>
        <w:bidi w:val="0"/>
        <w:adjustRightInd/>
        <w:spacing w:line="560" w:lineRule="exact"/>
        <w:ind w:firstLine="640"/>
        <w:textAlignment w:val="auto"/>
        <w:outlineLvl w:val="9"/>
        <w:rPr>
          <w:rFonts w:eastAsia="仿宋_GB2312"/>
          <w:sz w:val="32"/>
          <w:szCs w:val="32"/>
        </w:rPr>
      </w:pPr>
      <w:r>
        <w:rPr>
          <w:rFonts w:hint="eastAsia" w:eastAsia="仿宋_GB2312"/>
          <w:sz w:val="32"/>
          <w:szCs w:val="32"/>
        </w:rPr>
        <w:t>为妥善安置被征地农民，切实解决被征地农民的生产生活出路，在保证货币安置落实的同时，按实际征地面积10%计算留用地给被征地村集体，留用地兑现方式为实地留地。</w:t>
      </w:r>
    </w:p>
    <w:p>
      <w:pPr>
        <w:keepNext w:val="0"/>
        <w:keepLines w:val="0"/>
        <w:pageBreakBefore w:val="0"/>
        <w:kinsoku/>
        <w:wordWrap/>
        <w:overflowPunct/>
        <w:topLinePunct w:val="0"/>
        <w:autoSpaceDE/>
        <w:autoSpaceDN/>
        <w:bidi w:val="0"/>
        <w:adjustRightInd/>
        <w:spacing w:line="560" w:lineRule="exact"/>
        <w:ind w:firstLine="640"/>
        <w:textAlignment w:val="auto"/>
        <w:outlineLvl w:val="9"/>
        <w:rPr>
          <w:rFonts w:eastAsia="仿宋_GB2312"/>
          <w:strike/>
          <w:color w:val="000000"/>
          <w:sz w:val="32"/>
          <w:szCs w:val="32"/>
        </w:rPr>
      </w:pPr>
    </w:p>
    <w:p>
      <w:pPr>
        <w:keepNext w:val="0"/>
        <w:keepLines w:val="0"/>
        <w:pageBreakBefore w:val="0"/>
        <w:kinsoku/>
        <w:wordWrap/>
        <w:overflowPunct/>
        <w:topLinePunct w:val="0"/>
        <w:autoSpaceDE/>
        <w:autoSpaceDN/>
        <w:bidi w:val="0"/>
        <w:adjustRightInd/>
        <w:spacing w:line="560" w:lineRule="exact"/>
        <w:ind w:firstLine="640"/>
        <w:textAlignment w:val="auto"/>
        <w:outlineLvl w:val="9"/>
        <w:rPr>
          <w:rFonts w:eastAsia="仿宋_GB2312"/>
          <w:strike/>
          <w:color w:val="000000"/>
          <w:sz w:val="32"/>
          <w:szCs w:val="32"/>
        </w:rPr>
      </w:pPr>
    </w:p>
    <w:p>
      <w:pPr>
        <w:keepNext w:val="0"/>
        <w:keepLines w:val="0"/>
        <w:pageBreakBefore w:val="0"/>
        <w:kinsoku/>
        <w:wordWrap/>
        <w:overflowPunct/>
        <w:topLinePunct w:val="0"/>
        <w:autoSpaceDE/>
        <w:autoSpaceDN/>
        <w:bidi w:val="0"/>
        <w:adjustRightInd/>
        <w:spacing w:line="560" w:lineRule="exact"/>
        <w:ind w:firstLine="640"/>
        <w:textAlignment w:val="auto"/>
        <w:outlineLvl w:val="9"/>
        <w:rPr>
          <w:rFonts w:eastAsia="仿宋_GB2312"/>
          <w:sz w:val="32"/>
          <w:szCs w:val="32"/>
        </w:rPr>
      </w:pPr>
    </w:p>
    <w:p>
      <w:pPr>
        <w:keepNext w:val="0"/>
        <w:keepLines w:val="0"/>
        <w:pageBreakBefore w:val="0"/>
        <w:kinsoku/>
        <w:wordWrap/>
        <w:overflowPunct/>
        <w:topLinePunct w:val="0"/>
        <w:autoSpaceDE/>
        <w:autoSpaceDN/>
        <w:bidi w:val="0"/>
        <w:adjustRightInd/>
        <w:spacing w:line="560" w:lineRule="exact"/>
        <w:ind w:firstLine="640"/>
        <w:jc w:val="right"/>
        <w:textAlignment w:val="auto"/>
        <w:outlineLvl w:val="9"/>
        <w:rPr>
          <w:rFonts w:ascii="仿宋_GB2312" w:hAnsi="仿宋_GB2312" w:eastAsia="仿宋_GB2312" w:cs="仿宋_GB2312"/>
          <w:sz w:val="28"/>
          <w:szCs w:val="28"/>
        </w:rPr>
      </w:pPr>
      <w:r>
        <w:rPr>
          <w:rFonts w:hint="eastAsia" w:eastAsia="仿宋_GB2312"/>
          <w:sz w:val="32"/>
          <w:szCs w:val="32"/>
        </w:rPr>
        <w:t>广州市规划和自然资源局南沙区分局</w:t>
      </w:r>
    </w:p>
    <w:p>
      <w:pPr>
        <w:keepNext w:val="0"/>
        <w:keepLines w:val="0"/>
        <w:pageBreakBefore w:val="0"/>
        <w:kinsoku/>
        <w:wordWrap/>
        <w:overflowPunct/>
        <w:topLinePunct w:val="0"/>
        <w:autoSpaceDE/>
        <w:autoSpaceDN/>
        <w:bidi w:val="0"/>
        <w:adjustRightInd/>
        <w:spacing w:line="560" w:lineRule="exact"/>
        <w:ind w:firstLine="640"/>
        <w:jc w:val="right"/>
        <w:textAlignment w:val="auto"/>
        <w:outlineLvl w:val="9"/>
        <w:rPr>
          <w:rFonts w:eastAsia="仿宋_GB2312"/>
          <w:sz w:val="32"/>
          <w:szCs w:val="32"/>
        </w:rPr>
      </w:pPr>
      <w:r>
        <w:rPr>
          <w:rFonts w:hint="eastAsia" w:eastAsia="仿宋_GB2312"/>
          <w:sz w:val="32"/>
          <w:szCs w:val="32"/>
        </w:rPr>
        <w:t>2022年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13</w:t>
      </w:r>
      <w:r>
        <w:rPr>
          <w:rFonts w:hint="eastAsia" w:eastAsia="仿宋_GB2312"/>
          <w:sz w:val="32"/>
          <w:szCs w:val="32"/>
        </w:rPr>
        <w:t>日</w:t>
      </w:r>
    </w:p>
    <w:p>
      <w:pPr>
        <w:keepNext w:val="0"/>
        <w:keepLines w:val="0"/>
        <w:pageBreakBefore w:val="0"/>
        <w:widowControl/>
        <w:kinsoku/>
        <w:wordWrap/>
        <w:overflowPunct/>
        <w:topLinePunct w:val="0"/>
        <w:autoSpaceDE/>
        <w:autoSpaceDN/>
        <w:bidi w:val="0"/>
        <w:adjustRightInd/>
        <w:spacing w:line="560" w:lineRule="exact"/>
        <w:jc w:val="left"/>
        <w:textAlignment w:val="auto"/>
        <w:outlineLvl w:val="9"/>
      </w:pPr>
    </w:p>
    <w:p>
      <w:pPr>
        <w:keepNext w:val="0"/>
        <w:keepLines w:val="0"/>
        <w:pageBreakBefore w:val="0"/>
        <w:kinsoku/>
        <w:wordWrap/>
        <w:overflowPunct/>
        <w:topLinePunct w:val="0"/>
        <w:autoSpaceDE/>
        <w:autoSpaceDN/>
        <w:bidi w:val="0"/>
        <w:adjustRightInd/>
        <w:spacing w:line="560" w:lineRule="exact"/>
        <w:textAlignment w:val="auto"/>
        <w:outlineLvl w:val="9"/>
      </w:pPr>
    </w:p>
    <w:sectPr>
      <w:footerReference r:id="rId3" w:type="default"/>
      <w:pgSz w:w="11906" w:h="16838"/>
      <w:pgMar w:top="1440" w:right="1800"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9sZGvRAAAAAgEAAA8AAAAAAAAA&#10;AQAgAAAAIgAAAGRycy9kb3ducmV2LnhtbFBLAQIUABQAAAAIAIdO4kCxoYBBGAIAABIEAAAOAAAA&#10;AAAAAAEAIAAAACA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970"/>
    <w:rsid w:val="0031757C"/>
    <w:rsid w:val="00592C7B"/>
    <w:rsid w:val="00657B3C"/>
    <w:rsid w:val="00E652F0"/>
    <w:rsid w:val="00E668AD"/>
    <w:rsid w:val="00F43970"/>
    <w:rsid w:val="00FC67C0"/>
    <w:rsid w:val="108E612F"/>
    <w:rsid w:val="124E06C1"/>
    <w:rsid w:val="1902197E"/>
    <w:rsid w:val="1F4250E3"/>
    <w:rsid w:val="2B293483"/>
    <w:rsid w:val="2B8904CE"/>
    <w:rsid w:val="5B377A56"/>
    <w:rsid w:val="66BE28F8"/>
    <w:rsid w:val="67840206"/>
    <w:rsid w:val="77255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uiPriority w:val="0"/>
    <w:rPr>
      <w:rFonts w:ascii="Calibri" w:hAnsi="Calibri" w:eastAsia="宋体" w:cs="Times New Roman"/>
      <w:sz w:val="18"/>
      <w:szCs w:val="18"/>
    </w:rPr>
  </w:style>
  <w:style w:type="character" w:customStyle="1" w:styleId="8">
    <w:name w:val="标题 1 Char"/>
    <w:basedOn w:val="5"/>
    <w:link w:val="2"/>
    <w:uiPriority w:val="9"/>
    <w:rPr>
      <w:rFonts w:ascii="Calibri" w:hAnsi="Calibri" w:eastAsia="宋体" w:cs="Times New Roman"/>
      <w:b/>
      <w:bCs/>
      <w:kern w:val="44"/>
      <w:sz w:val="44"/>
      <w:szCs w:val="44"/>
    </w:rPr>
  </w:style>
  <w:style w:type="character" w:customStyle="1" w:styleId="9">
    <w:name w:val="页眉 Char"/>
    <w:basedOn w:val="5"/>
    <w:link w:val="4"/>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556</Characters>
  <Lines>4</Lines>
  <Paragraphs>1</Paragraphs>
  <TotalTime>1</TotalTime>
  <ScaleCrop>false</ScaleCrop>
  <LinksUpToDate>false</LinksUpToDate>
  <CharactersWithSpaces>652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2022-06-20T11:09:00Z</dcterms:created>
  <dc:creator>NTKO</dc:creator>
  <cp:lastModifiedBy>NTKO</cp:lastModifiedBy>
  <dcterms:modified xsi:type="dcterms:W3CDTF">2022-07-13T10:42:46Z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