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rPr>
        <w:t>关于</w:t>
      </w:r>
      <w:r>
        <w:rPr>
          <w:rFonts w:hint="default" w:ascii="Times New Roman" w:hAnsi="Times New Roman" w:eastAsia="方正小标宋简体" w:cs="Times New Roman"/>
          <w:color w:val="000000"/>
          <w:sz w:val="44"/>
          <w:szCs w:val="44"/>
          <w:lang w:val="en-US" w:eastAsia="zh-CN"/>
        </w:rPr>
        <w:t>广州市黄埔区（中新广州知识城）</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2023年度第七批次</w:t>
      </w:r>
      <w:r>
        <w:rPr>
          <w:rFonts w:hint="default" w:ascii="Times New Roman" w:hAnsi="Times New Roman" w:eastAsia="方正小标宋简体" w:cs="Times New Roman"/>
          <w:color w:val="000000"/>
          <w:sz w:val="44"/>
          <w:szCs w:val="44"/>
          <w:lang w:val="en-US" w:eastAsia="zh-CN"/>
        </w:rPr>
        <w:t>城镇建设用地</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2160"/>
          <w:tab w:val="left" w:pos="2340"/>
          <w:tab w:val="left" w:pos="6480"/>
        </w:tabs>
        <w:kinsoku/>
        <w:wordWrap/>
        <w:overflowPunct/>
        <w:topLinePunct w:val="0"/>
        <w:autoSpaceDE/>
        <w:autoSpaceDN/>
        <w:bidi w:val="0"/>
        <w:adjustRightInd/>
        <w:snapToGrid/>
        <w:spacing w:line="600" w:lineRule="exact"/>
        <w:ind w:right="23" w:rightChars="11"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为实施中新广州知识城建设规划，完善城市功能，改善城市环境，促进经济、文化发展，我区拟征收</w:t>
      </w:r>
      <w:r>
        <w:rPr>
          <w:rFonts w:hint="default" w:ascii="Times New Roman" w:hAnsi="Times New Roman" w:eastAsia="仿宋_GB2312" w:cs="Times New Roman"/>
          <w:color w:val="000000"/>
          <w:sz w:val="32"/>
          <w:szCs w:val="32"/>
          <w:lang w:bidi="ar"/>
        </w:rPr>
        <w:t>广州市黄埔区</w:t>
      </w:r>
      <w:r>
        <w:rPr>
          <w:rFonts w:hint="eastAsia" w:ascii="Times New Roman" w:hAnsi="Times New Roman" w:eastAsia="仿宋_GB2312" w:cs="Times New Roman"/>
          <w:color w:val="000000"/>
          <w:sz w:val="32"/>
          <w:szCs w:val="32"/>
          <w:lang w:eastAsia="zh-CN" w:bidi="ar"/>
        </w:rPr>
        <w:t>龙湖街长庚村</w:t>
      </w:r>
      <w:r>
        <w:rPr>
          <w:rFonts w:hint="default" w:ascii="Times New Roman" w:hAnsi="Times New Roman" w:eastAsia="仿宋_GB2312" w:cs="Times New Roman"/>
          <w:color w:val="000000"/>
          <w:sz w:val="32"/>
          <w:szCs w:val="32"/>
          <w:lang w:bidi="ar"/>
        </w:rPr>
        <w:t>经济联合社</w:t>
      </w:r>
      <w:r>
        <w:rPr>
          <w:rFonts w:hint="eastAsia" w:ascii="Times New Roman" w:hAnsi="Times New Roman" w:eastAsia="仿宋_GB2312" w:cs="Times New Roman"/>
          <w:color w:val="000000"/>
          <w:sz w:val="32"/>
          <w:szCs w:val="32"/>
          <w:lang w:eastAsia="zh-CN" w:bidi="ar"/>
        </w:rPr>
        <w:t>、长庚村</w:t>
      </w:r>
      <w:r>
        <w:rPr>
          <w:rFonts w:hint="eastAsia" w:ascii="Times New Roman" w:hAnsi="Times New Roman" w:eastAsia="仿宋_GB2312" w:cs="Times New Roman"/>
          <w:color w:val="000000"/>
          <w:sz w:val="32"/>
          <w:szCs w:val="32"/>
          <w:lang w:val="en-US" w:eastAsia="zh-CN" w:bidi="ar"/>
        </w:rPr>
        <w:t>第一</w:t>
      </w:r>
      <w:r>
        <w:rPr>
          <w:rFonts w:hint="eastAsia" w:ascii="Times New Roman" w:hAnsi="Times New Roman" w:eastAsia="仿宋_GB2312" w:cs="Times New Roman"/>
          <w:color w:val="000000"/>
          <w:sz w:val="32"/>
          <w:szCs w:val="32"/>
          <w:lang w:eastAsia="zh-CN" w:bidi="ar"/>
        </w:rPr>
        <w:t>经济合作社、长庚村</w:t>
      </w:r>
      <w:r>
        <w:rPr>
          <w:rFonts w:hint="eastAsia" w:ascii="Times New Roman" w:hAnsi="Times New Roman" w:eastAsia="仿宋_GB2312" w:cs="Times New Roman"/>
          <w:color w:val="000000"/>
          <w:sz w:val="32"/>
          <w:szCs w:val="32"/>
          <w:lang w:val="en-US" w:eastAsia="zh-CN" w:bidi="ar"/>
        </w:rPr>
        <w:t>第二</w:t>
      </w:r>
      <w:r>
        <w:rPr>
          <w:rFonts w:hint="eastAsia" w:ascii="Times New Roman" w:hAnsi="Times New Roman" w:eastAsia="仿宋_GB2312" w:cs="Times New Roman"/>
          <w:color w:val="000000"/>
          <w:sz w:val="32"/>
          <w:szCs w:val="32"/>
          <w:lang w:eastAsia="zh-CN" w:bidi="ar"/>
        </w:rPr>
        <w:t>经济合作社、长庚村</w:t>
      </w:r>
      <w:r>
        <w:rPr>
          <w:rFonts w:hint="eastAsia" w:ascii="Times New Roman" w:hAnsi="Times New Roman" w:eastAsia="仿宋_GB2312" w:cs="Times New Roman"/>
          <w:color w:val="000000"/>
          <w:sz w:val="32"/>
          <w:szCs w:val="32"/>
          <w:lang w:val="en-US" w:eastAsia="zh-CN" w:bidi="ar"/>
        </w:rPr>
        <w:t>第三</w:t>
      </w:r>
      <w:r>
        <w:rPr>
          <w:rFonts w:hint="eastAsia" w:ascii="Times New Roman" w:hAnsi="Times New Roman" w:eastAsia="仿宋_GB2312" w:cs="Times New Roman"/>
          <w:color w:val="000000"/>
          <w:sz w:val="32"/>
          <w:szCs w:val="32"/>
          <w:lang w:eastAsia="zh-CN" w:bidi="ar"/>
        </w:rPr>
        <w:t>经济合作社、</w:t>
      </w:r>
      <w:r>
        <w:rPr>
          <w:rFonts w:hint="eastAsia" w:ascii="Times New Roman" w:hAnsi="Times New Roman" w:eastAsia="仿宋_GB2312" w:cs="Times New Roman"/>
          <w:color w:val="000000"/>
          <w:sz w:val="32"/>
          <w:szCs w:val="32"/>
          <w:lang w:val="en-US" w:eastAsia="zh-CN" w:bidi="ar"/>
        </w:rPr>
        <w:t>龙湖街黄田村第三经济合作社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1.8861</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根据《中华人民共和国土地管理法》第二条、第四十五条、第四十七条有关规定精神、《广东省实施〈中华人民共和国土地管理法〉办法》等规定，结合我区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keepNext w:val="0"/>
        <w:keepLines w:val="0"/>
        <w:pageBreakBefore w:val="0"/>
        <w:widowControl w:val="0"/>
        <w:tabs>
          <w:tab w:val="left" w:pos="2160"/>
          <w:tab w:val="left" w:pos="2340"/>
          <w:tab w:val="left" w:pos="6480"/>
        </w:tabs>
        <w:kinsoku/>
        <w:wordWrap/>
        <w:overflowPunct/>
        <w:topLinePunct w:val="0"/>
        <w:autoSpaceDE/>
        <w:autoSpaceDN/>
        <w:bidi w:val="0"/>
        <w:adjustRightInd/>
        <w:snapToGrid/>
        <w:spacing w:line="600" w:lineRule="exact"/>
        <w:ind w:right="23" w:rightChars="11"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一、征收集体土地情况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sz w:val="32"/>
          <w:szCs w:val="32"/>
        </w:rPr>
        <w:t>该项目</w:t>
      </w:r>
      <w:r>
        <w:rPr>
          <w:rFonts w:hint="default" w:ascii="Times New Roman" w:hAnsi="Times New Roman" w:eastAsia="仿宋_GB2312" w:cs="Times New Roman"/>
          <w:sz w:val="32"/>
          <w:szCs w:val="32"/>
          <w:lang w:val="en-US" w:eastAsia="zh-CN"/>
        </w:rPr>
        <w:t>征收</w:t>
      </w:r>
      <w:r>
        <w:rPr>
          <w:rFonts w:hint="default" w:ascii="Times New Roman" w:hAnsi="Times New Roman" w:eastAsia="仿宋_GB2312" w:cs="Times New Roman"/>
          <w:color w:val="000000"/>
          <w:sz w:val="32"/>
          <w:szCs w:val="32"/>
          <w:lang w:bidi="ar"/>
        </w:rPr>
        <w:t>广州市黄埔区</w:t>
      </w:r>
      <w:r>
        <w:rPr>
          <w:rFonts w:hint="eastAsia" w:ascii="Times New Roman" w:hAnsi="Times New Roman" w:eastAsia="仿宋_GB2312" w:cs="Times New Roman"/>
          <w:color w:val="000000"/>
          <w:sz w:val="32"/>
          <w:szCs w:val="32"/>
          <w:lang w:eastAsia="zh-CN" w:bidi="ar"/>
        </w:rPr>
        <w:t>龙湖街长庚村</w:t>
      </w:r>
      <w:r>
        <w:rPr>
          <w:rFonts w:hint="default" w:ascii="Times New Roman" w:hAnsi="Times New Roman" w:eastAsia="仿宋_GB2312" w:cs="Times New Roman"/>
          <w:color w:val="000000"/>
          <w:sz w:val="32"/>
          <w:szCs w:val="32"/>
          <w:lang w:bidi="ar"/>
        </w:rPr>
        <w:t>经济联合社</w:t>
      </w:r>
      <w:r>
        <w:rPr>
          <w:rFonts w:hint="eastAsia" w:ascii="Times New Roman" w:hAnsi="Times New Roman" w:eastAsia="仿宋_GB2312" w:cs="Times New Roman"/>
          <w:color w:val="000000"/>
          <w:sz w:val="32"/>
          <w:szCs w:val="32"/>
          <w:lang w:eastAsia="zh-CN" w:bidi="ar"/>
        </w:rPr>
        <w:t>、长庚村</w:t>
      </w:r>
      <w:r>
        <w:rPr>
          <w:rFonts w:hint="eastAsia" w:ascii="Times New Roman" w:hAnsi="Times New Roman" w:eastAsia="仿宋_GB2312" w:cs="Times New Roman"/>
          <w:color w:val="000000"/>
          <w:sz w:val="32"/>
          <w:szCs w:val="32"/>
          <w:lang w:val="en-US" w:eastAsia="zh-CN" w:bidi="ar"/>
        </w:rPr>
        <w:t>第一</w:t>
      </w:r>
      <w:r>
        <w:rPr>
          <w:rFonts w:hint="eastAsia" w:ascii="Times New Roman" w:hAnsi="Times New Roman" w:eastAsia="仿宋_GB2312" w:cs="Times New Roman"/>
          <w:color w:val="000000"/>
          <w:sz w:val="32"/>
          <w:szCs w:val="32"/>
          <w:lang w:eastAsia="zh-CN" w:bidi="ar"/>
        </w:rPr>
        <w:t>经济合作社、长庚村</w:t>
      </w:r>
      <w:r>
        <w:rPr>
          <w:rFonts w:hint="eastAsia" w:ascii="Times New Roman" w:hAnsi="Times New Roman" w:eastAsia="仿宋_GB2312" w:cs="Times New Roman"/>
          <w:color w:val="000000"/>
          <w:sz w:val="32"/>
          <w:szCs w:val="32"/>
          <w:lang w:val="en-US" w:eastAsia="zh-CN" w:bidi="ar"/>
        </w:rPr>
        <w:t>第二</w:t>
      </w:r>
      <w:r>
        <w:rPr>
          <w:rFonts w:hint="eastAsia" w:ascii="Times New Roman" w:hAnsi="Times New Roman" w:eastAsia="仿宋_GB2312" w:cs="Times New Roman"/>
          <w:color w:val="000000"/>
          <w:sz w:val="32"/>
          <w:szCs w:val="32"/>
          <w:lang w:eastAsia="zh-CN" w:bidi="ar"/>
        </w:rPr>
        <w:t>经济合作社、长庚村</w:t>
      </w:r>
      <w:r>
        <w:rPr>
          <w:rFonts w:hint="eastAsia" w:ascii="Times New Roman" w:hAnsi="Times New Roman" w:eastAsia="仿宋_GB2312" w:cs="Times New Roman"/>
          <w:color w:val="000000"/>
          <w:sz w:val="32"/>
          <w:szCs w:val="32"/>
          <w:lang w:val="en-US" w:eastAsia="zh-CN" w:bidi="ar"/>
        </w:rPr>
        <w:t>第四</w:t>
      </w:r>
      <w:r>
        <w:rPr>
          <w:rFonts w:hint="eastAsia" w:ascii="Times New Roman" w:hAnsi="Times New Roman" w:eastAsia="仿宋_GB2312" w:cs="Times New Roman"/>
          <w:color w:val="000000"/>
          <w:sz w:val="32"/>
          <w:szCs w:val="32"/>
          <w:lang w:eastAsia="zh-CN" w:bidi="ar"/>
        </w:rPr>
        <w:t>经济合作社、</w:t>
      </w:r>
      <w:r>
        <w:rPr>
          <w:rFonts w:hint="eastAsia" w:ascii="Times New Roman" w:hAnsi="Times New Roman" w:eastAsia="仿宋_GB2312" w:cs="Times New Roman"/>
          <w:color w:val="000000"/>
          <w:sz w:val="32"/>
          <w:szCs w:val="32"/>
          <w:lang w:val="en-US" w:eastAsia="zh-CN" w:bidi="ar"/>
        </w:rPr>
        <w:t>龙湖街黄田村第三经济合作社</w:t>
      </w:r>
      <w:r>
        <w:rPr>
          <w:rFonts w:hint="default" w:ascii="Times New Roman" w:hAnsi="Times New Roman" w:eastAsia="仿宋_GB2312" w:cs="Times New Roman"/>
          <w:color w:val="000000"/>
          <w:sz w:val="32"/>
          <w:szCs w:val="32"/>
          <w:lang w:val="en-US" w:eastAsia="zh-CN" w:bidi="ar"/>
        </w:rPr>
        <w:t>属下</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1.8861</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，其中</w:t>
      </w:r>
      <w:r>
        <w:rPr>
          <w:rFonts w:hint="default" w:ascii="Times New Roman" w:hAnsi="Times New Roman" w:eastAsia="仿宋_GB2312" w:cs="Times New Roman"/>
          <w:color w:val="000000"/>
          <w:sz w:val="32"/>
          <w:szCs w:val="32"/>
          <w:lang w:bidi="ar"/>
        </w:rPr>
        <w:t>农用地</w:t>
      </w:r>
      <w:r>
        <w:rPr>
          <w:rFonts w:hint="eastAsia" w:ascii="Times New Roman" w:hAnsi="Times New Roman" w:eastAsia="仿宋_GB2312" w:cs="Times New Roman"/>
          <w:color w:val="000000"/>
          <w:sz w:val="32"/>
          <w:szCs w:val="32"/>
          <w:lang w:val="en-US" w:eastAsia="zh-CN" w:bidi="ar"/>
        </w:rPr>
        <w:t>1.8861</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耕地1.6199公顷、</w:t>
      </w:r>
      <w:r>
        <w:rPr>
          <w:rFonts w:hint="default" w:ascii="Times New Roman" w:hAnsi="Times New Roman" w:eastAsia="仿宋_GB2312" w:cs="Times New Roman"/>
          <w:color w:val="000000"/>
          <w:sz w:val="32"/>
          <w:szCs w:val="32"/>
          <w:lang w:bidi="ar"/>
        </w:rPr>
        <w:t>林地</w:t>
      </w:r>
      <w:r>
        <w:rPr>
          <w:rFonts w:hint="eastAsia" w:ascii="Times New Roman" w:hAnsi="Times New Roman" w:eastAsia="仿宋_GB2312" w:cs="Times New Roman"/>
          <w:color w:val="000000"/>
          <w:sz w:val="32"/>
          <w:szCs w:val="32"/>
          <w:lang w:val="en-US" w:eastAsia="zh-CN" w:bidi="ar"/>
        </w:rPr>
        <w:t>0.0411</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val="en-US" w:eastAsia="zh-CN" w:bidi="ar"/>
        </w:rPr>
        <w:t>、草地0.0754公顷、</w:t>
      </w:r>
      <w:r>
        <w:rPr>
          <w:rFonts w:hint="default" w:ascii="Times New Roman" w:hAnsi="Times New Roman" w:eastAsia="仿宋_GB2312" w:cs="Times New Roman"/>
          <w:color w:val="000000"/>
          <w:sz w:val="32"/>
          <w:szCs w:val="32"/>
          <w:lang w:bidi="ar"/>
        </w:rPr>
        <w:t>其他农用地</w:t>
      </w:r>
      <w:r>
        <w:rPr>
          <w:rFonts w:hint="eastAsia" w:ascii="Times New Roman" w:hAnsi="Times New Roman" w:eastAsia="仿宋_GB2312" w:cs="Times New Roman"/>
          <w:color w:val="000000"/>
          <w:sz w:val="32"/>
          <w:szCs w:val="32"/>
          <w:lang w:val="en-US" w:eastAsia="zh-CN" w:bidi="ar"/>
        </w:rPr>
        <w:t>0.1497</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bidi="ar"/>
        </w:rPr>
      </w:pPr>
      <w:r>
        <w:rPr>
          <w:rFonts w:hint="default" w:ascii="Times New Roman" w:hAnsi="Times New Roman" w:eastAsia="仿宋_GB2312" w:cs="Times New Roman"/>
          <w:color w:val="000000"/>
          <w:sz w:val="32"/>
          <w:szCs w:val="32"/>
          <w:lang w:val="en-US" w:eastAsia="zh-CN" w:bidi="ar"/>
        </w:rPr>
        <w:t>征地补偿标准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sz w:val="32"/>
          <w:szCs w:val="32"/>
        </w:rPr>
        <w:t>土地补偿和安置补助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土地补偿费与安置补偿费一览表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（单位：公顷、万元/公顷、万元）</w:t>
      </w:r>
    </w:p>
    <w:tbl>
      <w:tblPr>
        <w:tblStyle w:val="2"/>
        <w:tblW w:w="88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3"/>
        <w:gridCol w:w="765"/>
        <w:gridCol w:w="1001"/>
        <w:gridCol w:w="859"/>
        <w:gridCol w:w="1101"/>
        <w:gridCol w:w="780"/>
        <w:gridCol w:w="1220"/>
        <w:gridCol w:w="10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5" w:hRule="atLeast"/>
          <w:tblHeader/>
          <w:jc w:val="center"/>
        </w:trPr>
        <w:tc>
          <w:tcPr>
            <w:tcW w:w="2083"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被征地单位</w:t>
            </w:r>
          </w:p>
        </w:tc>
        <w:tc>
          <w:tcPr>
            <w:tcW w:w="765"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土地类别</w:t>
            </w:r>
          </w:p>
        </w:tc>
        <w:tc>
          <w:tcPr>
            <w:tcW w:w="1001"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面积</w:t>
            </w:r>
          </w:p>
        </w:tc>
        <w:tc>
          <w:tcPr>
            <w:tcW w:w="1960"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eastAsia="zh-CN"/>
              </w:rPr>
            </w:pPr>
            <w:r>
              <w:rPr>
                <w:rFonts w:hint="default" w:ascii="Times New Roman" w:hAnsi="Times New Roman" w:eastAsia="仿宋_GB2312" w:cs="Times New Roman"/>
                <w:b/>
                <w:bCs/>
                <w:color w:val="000000"/>
                <w:kern w:val="0"/>
                <w:sz w:val="22"/>
                <w:szCs w:val="22"/>
              </w:rPr>
              <w:t>土地补偿</w:t>
            </w:r>
            <w:r>
              <w:rPr>
                <w:rFonts w:hint="default" w:ascii="Times New Roman" w:hAnsi="Times New Roman" w:eastAsia="仿宋_GB2312" w:cs="Times New Roman"/>
                <w:b/>
                <w:bCs/>
                <w:color w:val="000000"/>
                <w:kern w:val="0"/>
                <w:sz w:val="22"/>
                <w:szCs w:val="22"/>
                <w:lang w:val="en-US" w:eastAsia="zh-CN"/>
              </w:rPr>
              <w:t>费</w:t>
            </w:r>
          </w:p>
        </w:tc>
        <w:tc>
          <w:tcPr>
            <w:tcW w:w="2000"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eastAsia="zh-CN"/>
              </w:rPr>
            </w:pPr>
            <w:r>
              <w:rPr>
                <w:rFonts w:hint="default" w:ascii="Times New Roman" w:hAnsi="Times New Roman" w:eastAsia="仿宋_GB2312" w:cs="Times New Roman"/>
                <w:b/>
                <w:bCs/>
                <w:color w:val="000000"/>
                <w:kern w:val="0"/>
                <w:sz w:val="22"/>
                <w:szCs w:val="22"/>
              </w:rPr>
              <w:t>安置补助</w:t>
            </w:r>
            <w:r>
              <w:rPr>
                <w:rFonts w:hint="default" w:ascii="Times New Roman" w:hAnsi="Times New Roman" w:eastAsia="仿宋_GB2312" w:cs="Times New Roman"/>
                <w:b/>
                <w:bCs/>
                <w:color w:val="000000"/>
                <w:kern w:val="0"/>
                <w:sz w:val="22"/>
                <w:szCs w:val="22"/>
                <w:lang w:val="en-US" w:eastAsia="zh-CN"/>
              </w:rPr>
              <w:t>费</w:t>
            </w:r>
          </w:p>
        </w:tc>
        <w:tc>
          <w:tcPr>
            <w:tcW w:w="1069"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blHeader/>
          <w:jc w:val="center"/>
        </w:trPr>
        <w:tc>
          <w:tcPr>
            <w:tcW w:w="2083"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765"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1001"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859"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lang w:val="en-US" w:eastAsia="zh-CN"/>
              </w:rPr>
              <w:t>补偿</w:t>
            </w:r>
            <w:r>
              <w:rPr>
                <w:rFonts w:hint="default" w:ascii="Times New Roman" w:hAnsi="Times New Roman" w:eastAsia="仿宋_GB2312" w:cs="Times New Roman"/>
                <w:b/>
                <w:bCs/>
                <w:color w:val="000000"/>
                <w:kern w:val="0"/>
                <w:sz w:val="22"/>
                <w:szCs w:val="22"/>
              </w:rPr>
              <w:t>标准</w:t>
            </w:r>
          </w:p>
        </w:tc>
        <w:tc>
          <w:tcPr>
            <w:tcW w:w="110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default" w:ascii="Times New Roman" w:hAnsi="Times New Roman" w:eastAsia="仿宋_GB2312" w:cs="Times New Roman"/>
                <w:b/>
                <w:bCs/>
                <w:color w:val="000000"/>
                <w:kern w:val="0"/>
                <w:sz w:val="22"/>
                <w:szCs w:val="22"/>
                <w:lang w:val="en-US" w:eastAsia="zh-CN"/>
              </w:rPr>
              <w:t>补偿金额</w:t>
            </w:r>
          </w:p>
        </w:tc>
        <w:tc>
          <w:tcPr>
            <w:tcW w:w="78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lang w:val="en-US" w:eastAsia="zh-CN"/>
              </w:rPr>
              <w:t>补偿</w:t>
            </w:r>
            <w:r>
              <w:rPr>
                <w:rFonts w:hint="default" w:ascii="Times New Roman" w:hAnsi="Times New Roman" w:eastAsia="仿宋_GB2312" w:cs="Times New Roman"/>
                <w:b/>
                <w:bCs/>
                <w:color w:val="000000"/>
                <w:kern w:val="0"/>
                <w:sz w:val="22"/>
                <w:szCs w:val="22"/>
              </w:rPr>
              <w:t>标准</w:t>
            </w:r>
          </w:p>
        </w:tc>
        <w:tc>
          <w:tcPr>
            <w:tcW w:w="122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default" w:ascii="Times New Roman" w:hAnsi="Times New Roman" w:eastAsia="仿宋_GB2312" w:cs="Times New Roman"/>
                <w:b/>
                <w:bCs/>
                <w:color w:val="000000"/>
                <w:kern w:val="0"/>
                <w:sz w:val="22"/>
                <w:szCs w:val="22"/>
                <w:lang w:val="en-US" w:eastAsia="zh-CN"/>
              </w:rPr>
              <w:t>补偿金额</w:t>
            </w:r>
          </w:p>
        </w:tc>
        <w:tc>
          <w:tcPr>
            <w:tcW w:w="1069" w:type="dxa"/>
            <w:vMerge w:val="continue"/>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08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广州市黄埔区龙湖街长庚村经济联合社</w:t>
            </w:r>
          </w:p>
        </w:tc>
        <w:tc>
          <w:tcPr>
            <w:tcW w:w="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2"/>
                <w:szCs w:val="22"/>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1.7478</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8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1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122.6956</w:t>
            </w:r>
          </w:p>
        </w:tc>
        <w:tc>
          <w:tcPr>
            <w:tcW w:w="78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22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218.1254</w:t>
            </w:r>
          </w:p>
        </w:tc>
        <w:tc>
          <w:tcPr>
            <w:tcW w:w="106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340.8210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08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广州市黄埔区龙湖街长庚村第一经济合作社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广州市黄埔区龙湖街长庚村第二经济合作社</w:t>
            </w:r>
          </w:p>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广州市黄埔区龙湖街长庚村第三经济合作社（共有）</w:t>
            </w:r>
          </w:p>
        </w:tc>
        <w:tc>
          <w:tcPr>
            <w:tcW w:w="765"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ascii="Times New Roman" w:hAnsi="Times New Roman" w:eastAsia="宋体" w:cs="Times New Roman"/>
                <w:i w:val="0"/>
                <w:iCs w:val="0"/>
                <w:color w:val="000000"/>
                <w:kern w:val="0"/>
                <w:sz w:val="22"/>
                <w:szCs w:val="22"/>
                <w:u w:val="none"/>
                <w:lang w:val="en-US" w:eastAsia="zh-CN" w:bidi="ar"/>
              </w:rPr>
              <w:t>1188</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8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1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8.3398</w:t>
            </w:r>
          </w:p>
        </w:tc>
        <w:tc>
          <w:tcPr>
            <w:tcW w:w="78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22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14.8262</w:t>
            </w:r>
          </w:p>
        </w:tc>
        <w:tc>
          <w:tcPr>
            <w:tcW w:w="106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23.1660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08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广州市黄埔区龙湖街黄田村第三经济合作社</w:t>
            </w:r>
          </w:p>
        </w:tc>
        <w:tc>
          <w:tcPr>
            <w:tcW w:w="765"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0.0195</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8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1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1.3689</w:t>
            </w:r>
          </w:p>
        </w:tc>
        <w:tc>
          <w:tcPr>
            <w:tcW w:w="78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22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2.4336</w:t>
            </w:r>
          </w:p>
        </w:tc>
        <w:tc>
          <w:tcPr>
            <w:tcW w:w="106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3.8025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2848"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2"/>
                <w:szCs w:val="22"/>
                <w:lang w:val="en-US" w:eastAsia="zh-CN"/>
              </w:rPr>
            </w:pPr>
            <w:r>
              <w:rPr>
                <w:rFonts w:hint="eastAsia" w:ascii="仿宋_GB2312" w:hAnsi="仿宋_GB2312" w:eastAsia="仿宋_GB2312" w:cs="仿宋_GB2312"/>
                <w:b/>
                <w:bCs/>
                <w:i w:val="0"/>
                <w:iCs w:val="0"/>
                <w:color w:val="000000"/>
                <w:kern w:val="0"/>
                <w:sz w:val="22"/>
                <w:szCs w:val="22"/>
                <w:u w:val="none"/>
                <w:lang w:val="en-US" w:eastAsia="zh-CN" w:bidi="ar"/>
              </w:rPr>
              <w:t>合计</w:t>
            </w:r>
          </w:p>
        </w:tc>
        <w:tc>
          <w:tcPr>
            <w:tcW w:w="10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1.8861</w:t>
            </w:r>
          </w:p>
        </w:tc>
        <w:tc>
          <w:tcPr>
            <w:tcW w:w="8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w:t>
            </w:r>
          </w:p>
        </w:tc>
        <w:tc>
          <w:tcPr>
            <w:tcW w:w="11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132.4043</w:t>
            </w:r>
          </w:p>
        </w:tc>
        <w:tc>
          <w:tcPr>
            <w:tcW w:w="78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w:t>
            </w:r>
          </w:p>
        </w:tc>
        <w:tc>
          <w:tcPr>
            <w:tcW w:w="122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235.3852</w:t>
            </w:r>
          </w:p>
        </w:tc>
        <w:tc>
          <w:tcPr>
            <w:tcW w:w="106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367.7895</w:t>
            </w:r>
          </w:p>
        </w:tc>
      </w:tr>
    </w:tbl>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青苗</w:t>
      </w:r>
      <w:r>
        <w:rPr>
          <w:rFonts w:hint="default" w:ascii="Times New Roman" w:hAnsi="Times New Roman" w:eastAsia="仿宋_GB2312" w:cs="Times New Roman"/>
          <w:color w:val="auto"/>
          <w:sz w:val="32"/>
          <w:szCs w:val="32"/>
          <w:lang w:val="en-US" w:eastAsia="zh-CN"/>
        </w:rPr>
        <w:t>补偿费</w:t>
      </w:r>
      <w:r>
        <w:rPr>
          <w:rFonts w:hint="eastAsia" w:ascii="Times New Roman" w:hAnsi="Times New Roman" w:eastAsia="仿宋_GB2312" w:cs="Times New Roman"/>
          <w:color w:val="auto"/>
          <w:sz w:val="32"/>
          <w:szCs w:val="32"/>
          <w:lang w:val="en-US" w:eastAsia="zh-CN"/>
        </w:rPr>
        <w:t>及地上附着物补偿费共121.6535万元</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农业人口安置。</w:t>
      </w:r>
      <w:r>
        <w:rPr>
          <w:rFonts w:hint="default" w:ascii="Times New Roman" w:hAnsi="Times New Roman" w:eastAsia="仿宋_GB2312" w:cs="Times New Roman"/>
          <w:color w:val="000000"/>
          <w:sz w:val="32"/>
          <w:szCs w:val="32"/>
        </w:rPr>
        <w:t>本次征收土地所涉及的被安置农业人员由被征地村以货币补偿的形式安置。征地批复后，由被征地农村经济经济组织在征地公告期内到</w:t>
      </w:r>
      <w:r>
        <w:rPr>
          <w:rFonts w:hint="default" w:ascii="Times New Roman" w:hAnsi="Times New Roman" w:eastAsia="仿宋_GB2312" w:cs="Times New Roman"/>
          <w:sz w:val="32"/>
          <w:szCs w:val="32"/>
        </w:rPr>
        <w:t>广州开发区规划和自然资源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color w:val="000000"/>
          <w:sz w:val="32"/>
          <w:szCs w:val="32"/>
        </w:rPr>
        <w:t>领取办理安置农业人口征地农转非手续的函件。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安置措施情况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lang w:eastAsia="zh-CN"/>
        </w:rPr>
      </w:pPr>
      <w:r>
        <w:rPr>
          <w:rFonts w:hint="default" w:ascii="Times New Roman" w:hAnsi="Times New Roman" w:eastAsia="仿宋_GB2312" w:cs="Times New Roman"/>
          <w:sz w:val="32"/>
          <w:szCs w:val="32"/>
        </w:rPr>
        <w:t>为妥善安置被征地农民，切实解决被征地农民的生产生活出路，在保证货币安置落实的同时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根据留用地安置的相关</w:t>
      </w:r>
      <w:r>
        <w:rPr>
          <w:rFonts w:hint="default" w:ascii="Times New Roman" w:hAnsi="Times New Roman" w:eastAsia="仿宋_GB2312" w:cs="Times New Roman"/>
          <w:sz w:val="32"/>
          <w:szCs w:val="32"/>
          <w:lang w:val="en-US" w:eastAsia="zh-CN"/>
        </w:rPr>
        <w:t>文件</w:t>
      </w:r>
      <w:r>
        <w:rPr>
          <w:rFonts w:hint="default" w:ascii="Times New Roman" w:hAnsi="Times New Roman" w:eastAsia="仿宋_GB2312" w:cs="Times New Roman"/>
          <w:sz w:val="32"/>
          <w:szCs w:val="32"/>
        </w:rPr>
        <w:t>规定，我区将按</w:t>
      </w:r>
      <w:r>
        <w:rPr>
          <w:rFonts w:hint="default" w:ascii="Times New Roman" w:hAnsi="Times New Roman" w:eastAsia="仿宋_GB2312" w:cs="Times New Roman"/>
          <w:sz w:val="32"/>
          <w:szCs w:val="32"/>
          <w:lang w:eastAsia="zh-CN"/>
        </w:rPr>
        <w:t>实际征收</w:t>
      </w:r>
      <w:r>
        <w:rPr>
          <w:rFonts w:hint="default" w:ascii="Times New Roman" w:hAnsi="Times New Roman" w:eastAsia="仿宋_GB2312" w:cs="Times New Roman"/>
          <w:sz w:val="32"/>
          <w:szCs w:val="32"/>
        </w:rPr>
        <w:t>面积的</w:t>
      </w:r>
      <w:r>
        <w:rPr>
          <w:rFonts w:hint="default" w:ascii="Times New Roman" w:hAnsi="Times New Roman" w:eastAsia="仿宋_GB2312" w:cs="Times New Roman"/>
          <w:snapToGrid/>
          <w:color w:val="auto"/>
          <w:sz w:val="32"/>
          <w:szCs w:val="32"/>
          <w:highlight w:val="none"/>
          <w:u w:val="none" w:color="auto"/>
          <w:shd w:val="clear" w:color="auto" w:fill="FFFFFF"/>
          <w:lang w:val="en-US" w:eastAsia="zh-CN"/>
        </w:rPr>
        <w:t>10%</w:t>
      </w:r>
      <w:r>
        <w:rPr>
          <w:rFonts w:hint="default" w:ascii="Times New Roman" w:hAnsi="Times New Roman" w:eastAsia="仿宋_GB2312" w:cs="Times New Roman"/>
          <w:sz w:val="32"/>
          <w:szCs w:val="32"/>
        </w:rPr>
        <w:t>安排村集体留用地</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在该批次用地红线范围外安排解决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给上述被征地农民落实基本养老保障和培训就业等社会保障措施，确保被征地农民的原有生活水平不降低，长远生计有保障，具体将按省的征地社会保障实施方案办理</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tbl>
      <w:tblPr>
        <w:tblStyle w:val="2"/>
        <w:tblpPr w:leftFromText="180" w:rightFromText="180" w:vertAnchor="text" w:horzAnchor="page" w:tblpX="1232" w:tblpY="166"/>
        <w:tblOverlap w:val="never"/>
        <w:tblW w:w="9781" w:type="dxa"/>
        <w:tblInd w:w="0" w:type="dxa"/>
        <w:tblLayout w:type="autofit"/>
        <w:tblCellMar>
          <w:top w:w="0" w:type="dxa"/>
          <w:left w:w="108" w:type="dxa"/>
          <w:bottom w:w="0" w:type="dxa"/>
          <w:right w:w="108" w:type="dxa"/>
        </w:tblCellMar>
      </w:tblPr>
      <w:tblGrid>
        <w:gridCol w:w="4536"/>
        <w:gridCol w:w="5245"/>
      </w:tblGrid>
      <w:tr>
        <w:tblPrEx>
          <w:tblCellMar>
            <w:top w:w="0" w:type="dxa"/>
            <w:left w:w="108" w:type="dxa"/>
            <w:bottom w:w="0" w:type="dxa"/>
            <w:right w:w="108" w:type="dxa"/>
          </w:tblCellMar>
        </w:tblPrEx>
        <w:tc>
          <w:tcPr>
            <w:tcW w:w="4536"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eastAsia="仿宋_GB2312"/>
                <w:sz w:val="32"/>
                <w:szCs w:val="32"/>
              </w:rPr>
              <w:t>广州开发区规划和自然资源局</w:t>
            </w:r>
          </w:p>
        </w:tc>
        <w:tc>
          <w:tcPr>
            <w:tcW w:w="5245" w:type="dxa"/>
            <w:noWrap w:val="0"/>
            <w:vAlign w:val="top"/>
          </w:tcPr>
          <w:p>
            <w:pPr>
              <w:keepNext w:val="0"/>
              <w:keepLines w:val="0"/>
              <w:pageBreakBefore w:val="0"/>
              <w:widowControl w:val="0"/>
              <w:tabs>
                <w:tab w:val="left" w:pos="4826"/>
              </w:tabs>
              <w:kinsoku/>
              <w:wordWrap/>
              <w:overflowPunct/>
              <w:topLinePunct w:val="0"/>
              <w:autoSpaceDE/>
              <w:autoSpaceDN/>
              <w:bidi w:val="0"/>
              <w:adjustRightInd/>
              <w:snapToGrid/>
              <w:spacing w:line="600" w:lineRule="exact"/>
              <w:ind w:right="-654"/>
              <w:textAlignment w:val="auto"/>
              <w:rPr>
                <w:rFonts w:hint="eastAsia" w:eastAsia="仿宋_GB2312"/>
                <w:sz w:val="32"/>
                <w:szCs w:val="32"/>
              </w:rPr>
            </w:pPr>
            <w:r>
              <w:rPr>
                <w:rFonts w:hint="eastAsia" w:eastAsia="仿宋_GB2312"/>
                <w:sz w:val="32"/>
                <w:szCs w:val="32"/>
              </w:rPr>
              <w:t>广州市规划和自然资源局黄埔区分局</w:t>
            </w:r>
          </w:p>
          <w:p>
            <w:pPr>
              <w:keepNext w:val="0"/>
              <w:keepLines w:val="0"/>
              <w:pageBreakBefore w:val="0"/>
              <w:widowControl w:val="0"/>
              <w:tabs>
                <w:tab w:val="left" w:pos="4712"/>
              </w:tabs>
              <w:kinsoku/>
              <w:wordWrap/>
              <w:overflowPunct/>
              <w:topLinePunct w:val="0"/>
              <w:autoSpaceDE/>
              <w:autoSpaceDN/>
              <w:bidi w:val="0"/>
              <w:adjustRightInd/>
              <w:snapToGrid/>
              <w:spacing w:line="600" w:lineRule="exact"/>
              <w:ind w:right="-108"/>
              <w:jc w:val="center"/>
              <w:textAlignment w:val="auto"/>
              <w:rPr>
                <w:rFonts w:hint="eastAsia"/>
              </w:rPr>
            </w:pPr>
            <w:r>
              <w:rPr>
                <w:rFonts w:hint="default" w:ascii="Times New Roman" w:hAnsi="Times New Roman" w:eastAsia="仿宋_GB2312" w:cs="Times New Roman"/>
                <w:snapToGrid/>
                <w:color w:val="auto"/>
                <w:sz w:val="32"/>
                <w:szCs w:val="32"/>
                <w:highlight w:val="none"/>
                <w:u w:val="none" w:color="auto"/>
                <w:shd w:val="clear" w:color="auto" w:fill="FFFFFF"/>
                <w:lang w:val="en-US" w:eastAsia="zh-CN"/>
              </w:rPr>
              <w:t>20</w:t>
            </w:r>
            <w:r>
              <w:rPr>
                <w:rFonts w:hint="eastAsia" w:ascii="Times New Roman" w:hAnsi="Times New Roman" w:eastAsia="仿宋_GB2312" w:cs="Times New Roman"/>
                <w:snapToGrid/>
                <w:color w:val="auto"/>
                <w:sz w:val="32"/>
                <w:szCs w:val="32"/>
                <w:highlight w:val="none"/>
                <w:u w:val="none" w:color="auto"/>
                <w:shd w:val="clear" w:color="auto" w:fill="FFFFFF"/>
                <w:lang w:val="en-US" w:eastAsia="zh-CN"/>
              </w:rPr>
              <w:t>23年4月17</w:t>
            </w:r>
            <w:r>
              <w:rPr>
                <w:rFonts w:hint="default" w:ascii="Times New Roman" w:hAnsi="Times New Roman" w:eastAsia="仿宋_GB2312" w:cs="Times New Roman"/>
                <w:snapToGrid/>
                <w:color w:val="auto"/>
                <w:sz w:val="32"/>
                <w:szCs w:val="32"/>
                <w:highlight w:val="none"/>
                <w:u w:val="none" w:color="auto"/>
                <w:shd w:val="clear" w:color="auto" w:fill="FFFFFF"/>
                <w:lang w:val="en-US" w:eastAsia="zh-CN"/>
              </w:rPr>
              <w:t>日</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eastAsia="仿宋_GB2312"/>
          <w:lang w:eastAsia="zh-CN"/>
        </w:rPr>
      </w:pPr>
      <w:bookmarkStart w:id="0" w:name="_GoBack"/>
      <w:bookmarkEnd w:id="0"/>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E5F31"/>
    <w:multiLevelType w:val="singleLevel"/>
    <w:tmpl w:val="805E5F31"/>
    <w:lvl w:ilvl="0" w:tentative="0">
      <w:start w:val="1"/>
      <w:numFmt w:val="chineseCounting"/>
      <w:suff w:val="nothing"/>
      <w:lvlText w:val="（%1）"/>
      <w:lvlJc w:val="left"/>
      <w:rPr>
        <w:rFonts w:hint="eastAsia"/>
        <w:b w:val="0"/>
        <w:bCs w:val="0"/>
      </w:rPr>
    </w:lvl>
  </w:abstractNum>
  <w:abstractNum w:abstractNumId="1">
    <w:nsid w:val="3195F1B0"/>
    <w:multiLevelType w:val="singleLevel"/>
    <w:tmpl w:val="3195F1B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6F904891"/>
    <w:rsid w:val="001572D6"/>
    <w:rsid w:val="043D5409"/>
    <w:rsid w:val="07EC610C"/>
    <w:rsid w:val="0F653D08"/>
    <w:rsid w:val="0F9073D0"/>
    <w:rsid w:val="11286134"/>
    <w:rsid w:val="11DB1F22"/>
    <w:rsid w:val="1305476D"/>
    <w:rsid w:val="14234C20"/>
    <w:rsid w:val="15390318"/>
    <w:rsid w:val="17EC7BCA"/>
    <w:rsid w:val="18243F2C"/>
    <w:rsid w:val="1A8B0AEC"/>
    <w:rsid w:val="1B8368F3"/>
    <w:rsid w:val="236D51B4"/>
    <w:rsid w:val="2591116E"/>
    <w:rsid w:val="26DE174A"/>
    <w:rsid w:val="28F12E95"/>
    <w:rsid w:val="2ABE5B1A"/>
    <w:rsid w:val="2D063B65"/>
    <w:rsid w:val="2FA951A8"/>
    <w:rsid w:val="304D473E"/>
    <w:rsid w:val="337B4EAB"/>
    <w:rsid w:val="37711B4D"/>
    <w:rsid w:val="39DF0BD7"/>
    <w:rsid w:val="40637CF9"/>
    <w:rsid w:val="4137018A"/>
    <w:rsid w:val="41F5678E"/>
    <w:rsid w:val="430309FB"/>
    <w:rsid w:val="43CF14AC"/>
    <w:rsid w:val="482927C3"/>
    <w:rsid w:val="49D767A1"/>
    <w:rsid w:val="4D8B5B2D"/>
    <w:rsid w:val="51D04C64"/>
    <w:rsid w:val="52180177"/>
    <w:rsid w:val="538F3C48"/>
    <w:rsid w:val="555111B5"/>
    <w:rsid w:val="5B8E59E1"/>
    <w:rsid w:val="5B9916F5"/>
    <w:rsid w:val="5F0F39F7"/>
    <w:rsid w:val="60D463C4"/>
    <w:rsid w:val="61834DEC"/>
    <w:rsid w:val="6B3F37DB"/>
    <w:rsid w:val="6B9E543D"/>
    <w:rsid w:val="6D966E0E"/>
    <w:rsid w:val="6F904891"/>
    <w:rsid w:val="724E4B0C"/>
    <w:rsid w:val="74FA7077"/>
    <w:rsid w:val="75B73245"/>
    <w:rsid w:val="75F32054"/>
    <w:rsid w:val="768255EF"/>
    <w:rsid w:val="7A322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801</Words>
  <Characters>938</Characters>
  <Lines>0</Lines>
  <Paragraphs>0</Paragraphs>
  <TotalTime>1</TotalTime>
  <ScaleCrop>false</ScaleCrop>
  <LinksUpToDate>false</LinksUpToDate>
  <CharactersWithSpaces>949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回忆か~捉不到</cp:lastModifiedBy>
  <dcterms:modified xsi:type="dcterms:W3CDTF">2023-05-06T02:06:43Z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77ED11A3E9B24050BDDFE877C2B47134</vt:lpwstr>
  </property>
</Properties>
</file>