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60"/>
          <w:tab w:val="left" w:pos="2340"/>
          <w:tab w:val="left" w:pos="6480"/>
        </w:tabs>
        <w:spacing w:line="579" w:lineRule="exact"/>
        <w:ind w:right="23" w:rightChars="11"/>
        <w:rPr>
          <w:rFonts w:hint="default" w:ascii="Times New Roman" w:hAnsi="Times New Roman" w:eastAsia="仿宋_GB2312" w:cs="Times New Roman"/>
          <w:sz w:val="32"/>
          <w:szCs w:val="32"/>
          <w:shd w:val="clear" w:color="auto" w:fill="FFFFFF"/>
          <w:lang w:val="en-US" w:eastAsia="zh-CN"/>
        </w:rPr>
      </w:pPr>
      <w:r>
        <w:rPr>
          <w:rFonts w:hint="default" w:ascii="Times New Roman" w:hAnsi="Times New Roman" w:eastAsia="仿宋_GB2312" w:cs="Times New Roman"/>
          <w:sz w:val="32"/>
          <w:szCs w:val="32"/>
          <w:shd w:val="clear" w:color="auto" w:fill="FFFFFF"/>
          <w:lang w:val="en-US" w:eastAsia="zh-CN"/>
        </w:rPr>
        <w:t>附件1：</w:t>
      </w:r>
    </w:p>
    <w:p>
      <w:pPr>
        <w:adjustRightInd w:val="0"/>
        <w:snapToGrid w:val="0"/>
        <w:jc w:val="center"/>
        <w:rPr>
          <w:rFonts w:hint="default" w:ascii="Times New Roman" w:hAnsi="Times New Roman" w:eastAsia="方正小标宋简体" w:cs="Times New Roman"/>
          <w:color w:val="000000"/>
          <w:sz w:val="44"/>
          <w:szCs w:val="44"/>
        </w:rPr>
      </w:pP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default" w:ascii="Times New Roman" w:hAnsi="Times New Roman" w:eastAsia="方正小标宋简体" w:cs="Times New Roman"/>
          <w:color w:val="000000"/>
          <w:sz w:val="44"/>
          <w:szCs w:val="44"/>
        </w:rPr>
        <w:t>关于</w:t>
      </w:r>
      <w:r>
        <w:rPr>
          <w:rFonts w:hint="default" w:ascii="Times New Roman" w:hAnsi="Times New Roman" w:eastAsia="方正小标宋简体" w:cs="Times New Roman"/>
          <w:color w:val="000000"/>
          <w:sz w:val="44"/>
          <w:szCs w:val="44"/>
          <w:lang w:val="en-US" w:eastAsia="zh-CN"/>
        </w:rPr>
        <w:t>广州市黄埔区（中新广州知识城）</w:t>
      </w:r>
    </w:p>
    <w:p>
      <w:pPr>
        <w:adjustRightInd w:val="0"/>
        <w:snapToGrid w:val="0"/>
        <w:jc w:val="center"/>
        <w:rPr>
          <w:rFonts w:hint="default" w:ascii="Times New Roman" w:hAnsi="Times New Roman" w:eastAsia="方正小标宋简体" w:cs="Times New Roman"/>
          <w:color w:val="000000"/>
          <w:sz w:val="44"/>
          <w:szCs w:val="44"/>
          <w:lang w:val="en-US" w:eastAsia="zh-CN"/>
        </w:rPr>
      </w:pPr>
      <w:r>
        <w:rPr>
          <w:rFonts w:hint="eastAsia" w:ascii="Times New Roman" w:hAnsi="Times New Roman" w:eastAsia="方正小标宋简体" w:cs="Times New Roman"/>
          <w:color w:val="000000"/>
          <w:sz w:val="44"/>
          <w:szCs w:val="44"/>
          <w:lang w:val="en-US" w:eastAsia="zh-CN"/>
        </w:rPr>
        <w:t>2023年度第十一批次</w:t>
      </w:r>
      <w:r>
        <w:rPr>
          <w:rFonts w:hint="default" w:ascii="Times New Roman" w:hAnsi="Times New Roman" w:eastAsia="方正小标宋简体" w:cs="Times New Roman"/>
          <w:color w:val="000000"/>
          <w:sz w:val="44"/>
          <w:szCs w:val="44"/>
          <w:lang w:val="en-US" w:eastAsia="zh-CN"/>
        </w:rPr>
        <w:t>城镇建设用地</w:t>
      </w:r>
    </w:p>
    <w:p>
      <w:pPr>
        <w:adjustRightInd w:val="0"/>
        <w:snapToGrid w:val="0"/>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征</w:t>
      </w:r>
      <w:r>
        <w:rPr>
          <w:rFonts w:hint="default" w:ascii="Times New Roman" w:hAnsi="Times New Roman" w:eastAsia="方正小标宋简体" w:cs="Times New Roman"/>
          <w:color w:val="000000"/>
          <w:sz w:val="44"/>
          <w:szCs w:val="44"/>
          <w:lang w:val="en-US" w:eastAsia="zh-CN"/>
        </w:rPr>
        <w:t>地</w:t>
      </w:r>
      <w:r>
        <w:rPr>
          <w:rFonts w:hint="default" w:ascii="Times New Roman" w:hAnsi="Times New Roman" w:eastAsia="方正小标宋简体" w:cs="Times New Roman"/>
          <w:color w:val="000000"/>
          <w:sz w:val="44"/>
          <w:szCs w:val="44"/>
        </w:rPr>
        <w:t>补偿安置方案</w:t>
      </w:r>
    </w:p>
    <w:p>
      <w:pPr>
        <w:spacing w:line="500" w:lineRule="exact"/>
        <w:rPr>
          <w:rFonts w:hint="default" w:ascii="Times New Roman" w:hAnsi="Times New Roman" w:eastAsia="仿宋_GB2312" w:cs="Times New Roman"/>
          <w:sz w:val="32"/>
          <w:szCs w:val="32"/>
        </w:rPr>
      </w:pP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为实施中新广州知识城建设规划，完善城市功能，改善城市环境，促进经济、文化发展，我区拟征收</w:t>
      </w:r>
      <w:r>
        <w:rPr>
          <w:rFonts w:hint="default" w:ascii="Times New Roman" w:hAnsi="Times New Roman" w:eastAsia="仿宋_GB2312" w:cs="Times New Roman"/>
          <w:color w:val="000000"/>
          <w:sz w:val="32"/>
          <w:szCs w:val="32"/>
          <w:lang w:bidi="ar"/>
        </w:rPr>
        <w:t>广州市黄埔区新龙镇福山村岐一经济合作社</w:t>
      </w:r>
      <w:r>
        <w:rPr>
          <w:rFonts w:hint="eastAsia" w:ascii="Times New Roman" w:hAnsi="Times New Roman" w:eastAsia="仿宋_GB2312" w:cs="Times New Roman"/>
          <w:color w:val="000000"/>
          <w:sz w:val="32"/>
          <w:szCs w:val="32"/>
          <w:lang w:eastAsia="zh-CN" w:bidi="ar"/>
        </w:rPr>
        <w:t>、福山村岐二经济合作社、福山村经济联合社、福山村大田经济合作社、福山村坪山经济合作社、福山村库一经济合作社、福山村库二经济合作社</w:t>
      </w:r>
      <w:r>
        <w:rPr>
          <w:rFonts w:hint="default" w:ascii="Times New Roman" w:hAnsi="Times New Roman" w:eastAsia="仿宋_GB2312" w:cs="Times New Roman"/>
          <w:color w:val="000000"/>
          <w:sz w:val="32"/>
          <w:szCs w:val="32"/>
          <w:lang w:val="en-US" w:eastAsia="zh-CN" w:bidi="ar"/>
        </w:rPr>
        <w:t>属下的</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46.6180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w:t>
      </w:r>
      <w:r>
        <w:rPr>
          <w:rFonts w:hint="default" w:ascii="Times New Roman" w:hAnsi="Times New Roman" w:eastAsia="仿宋_GB2312" w:cs="Times New Roman"/>
          <w:sz w:val="32"/>
          <w:szCs w:val="32"/>
        </w:rPr>
        <w:t>根据《中华人民共和国土地管理法》第二条、第四十五条、第四十七条有关规定精神、《广东省实施〈中华人民共和国土地管理法〉办法》等规定，结合我区</w:t>
      </w:r>
      <w:r>
        <w:rPr>
          <w:rFonts w:hint="default" w:ascii="Times New Roman" w:hAnsi="Times New Roman" w:eastAsia="仿宋_GB2312" w:cs="Times New Roman"/>
          <w:sz w:val="32"/>
          <w:szCs w:val="32"/>
          <w:lang w:val="en-US" w:eastAsia="zh-CN"/>
        </w:rPr>
        <w:t>的征收农用地区片综合地价和</w:t>
      </w:r>
      <w:r>
        <w:rPr>
          <w:rFonts w:hint="default" w:ascii="Times New Roman" w:hAnsi="Times New Roman" w:eastAsia="仿宋_GB2312" w:cs="Times New Roman"/>
          <w:sz w:val="32"/>
          <w:szCs w:val="32"/>
        </w:rPr>
        <w:t>实际情况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拟定了征地补偿安置方案，具体如下：</w:t>
      </w:r>
    </w:p>
    <w:p>
      <w:pPr>
        <w:tabs>
          <w:tab w:val="left" w:pos="2160"/>
          <w:tab w:val="left" w:pos="2340"/>
          <w:tab w:val="left" w:pos="6480"/>
        </w:tabs>
        <w:spacing w:line="579" w:lineRule="exact"/>
        <w:ind w:right="23" w:rightChars="11"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一、征收集体土地情况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lang w:bidi="ar"/>
        </w:rPr>
      </w:pPr>
      <w:r>
        <w:rPr>
          <w:rFonts w:hint="default" w:ascii="Times New Roman" w:hAnsi="Times New Roman" w:eastAsia="仿宋_GB2312" w:cs="Times New Roman"/>
          <w:sz w:val="32"/>
          <w:szCs w:val="32"/>
        </w:rPr>
        <w:t>该项目</w:t>
      </w:r>
      <w:r>
        <w:rPr>
          <w:rFonts w:hint="default" w:ascii="Times New Roman" w:hAnsi="Times New Roman" w:eastAsia="仿宋_GB2312" w:cs="Times New Roman"/>
          <w:sz w:val="32"/>
          <w:szCs w:val="32"/>
          <w:lang w:val="en-US" w:eastAsia="zh-CN"/>
        </w:rPr>
        <w:t>征收</w:t>
      </w:r>
      <w:r>
        <w:rPr>
          <w:rFonts w:hint="default" w:ascii="Times New Roman" w:hAnsi="Times New Roman" w:eastAsia="仿宋_GB2312" w:cs="Times New Roman"/>
          <w:color w:val="000000"/>
          <w:sz w:val="32"/>
          <w:szCs w:val="32"/>
          <w:lang w:bidi="ar"/>
        </w:rPr>
        <w:t>广州市黄埔区新龙镇福山村岐一经济合作社</w:t>
      </w:r>
      <w:r>
        <w:rPr>
          <w:rFonts w:hint="eastAsia" w:ascii="Times New Roman" w:hAnsi="Times New Roman" w:eastAsia="仿宋_GB2312" w:cs="Times New Roman"/>
          <w:color w:val="000000"/>
          <w:sz w:val="32"/>
          <w:szCs w:val="32"/>
          <w:lang w:eastAsia="zh-CN" w:bidi="ar"/>
        </w:rPr>
        <w:t>、福山村岐二经济合作社、福山村经济联合社、福山村大田经济合作社、福山村坪山经济合作社、福山村库一经济合作社、福山村库二经济合作社</w:t>
      </w:r>
      <w:r>
        <w:rPr>
          <w:rFonts w:hint="default" w:ascii="Times New Roman" w:hAnsi="Times New Roman" w:eastAsia="仿宋_GB2312" w:cs="Times New Roman"/>
          <w:color w:val="000000"/>
          <w:sz w:val="32"/>
          <w:szCs w:val="32"/>
          <w:lang w:val="en-US" w:eastAsia="zh-CN" w:bidi="ar"/>
        </w:rPr>
        <w:t>属下</w:t>
      </w:r>
      <w:r>
        <w:rPr>
          <w:rFonts w:hint="default" w:ascii="Times New Roman" w:hAnsi="Times New Roman" w:eastAsia="仿宋_GB2312" w:cs="Times New Roman"/>
          <w:color w:val="000000"/>
          <w:sz w:val="32"/>
          <w:szCs w:val="32"/>
          <w:lang w:bidi="ar"/>
        </w:rPr>
        <w:t>集体土地合计</w:t>
      </w:r>
      <w:r>
        <w:rPr>
          <w:rFonts w:hint="eastAsia" w:ascii="Times New Roman" w:hAnsi="Times New Roman" w:eastAsia="仿宋_GB2312" w:cs="Times New Roman"/>
          <w:color w:val="000000"/>
          <w:sz w:val="32"/>
          <w:szCs w:val="32"/>
          <w:lang w:val="en-US" w:eastAsia="zh-CN" w:bidi="ar"/>
        </w:rPr>
        <w:t>46.6180</w:t>
      </w:r>
      <w:r>
        <w:rPr>
          <w:rFonts w:hint="default" w:ascii="Times New Roman" w:hAnsi="Times New Roman" w:eastAsia="仿宋_GB2312" w:cs="Times New Roman"/>
          <w:color w:val="000000"/>
          <w:sz w:val="32"/>
          <w:szCs w:val="32"/>
          <w:lang w:bidi="ar"/>
        </w:rPr>
        <w:t>公顷</w:t>
      </w:r>
      <w:r>
        <w:rPr>
          <w:rFonts w:hint="default" w:ascii="Times New Roman" w:hAnsi="Times New Roman" w:eastAsia="仿宋_GB2312" w:cs="Times New Roman"/>
          <w:sz w:val="32"/>
          <w:szCs w:val="32"/>
          <w:shd w:val="clear" w:color="auto" w:fill="FFFFFF"/>
          <w:lang w:val="en-US" w:eastAsia="zh-CN"/>
        </w:rPr>
        <w:t>，其中</w:t>
      </w:r>
      <w:r>
        <w:rPr>
          <w:rFonts w:hint="default" w:ascii="Times New Roman" w:hAnsi="Times New Roman" w:eastAsia="仿宋_GB2312" w:cs="Times New Roman"/>
          <w:color w:val="000000"/>
          <w:sz w:val="32"/>
          <w:szCs w:val="32"/>
          <w:lang w:bidi="ar"/>
        </w:rPr>
        <w:t>农用地</w:t>
      </w:r>
      <w:r>
        <w:rPr>
          <w:rFonts w:hint="eastAsia" w:ascii="Times New Roman" w:hAnsi="Times New Roman" w:eastAsia="仿宋_GB2312" w:cs="Times New Roman"/>
          <w:color w:val="000000"/>
          <w:sz w:val="32"/>
          <w:szCs w:val="32"/>
          <w:lang w:val="en-US" w:eastAsia="zh-CN" w:bidi="ar"/>
        </w:rPr>
        <w:t>46.6180</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林地</w:t>
      </w:r>
      <w:r>
        <w:rPr>
          <w:rFonts w:hint="eastAsia" w:ascii="Times New Roman" w:hAnsi="Times New Roman" w:eastAsia="仿宋_GB2312" w:cs="Times New Roman"/>
          <w:color w:val="000000"/>
          <w:sz w:val="32"/>
          <w:szCs w:val="32"/>
          <w:lang w:val="en-US" w:eastAsia="zh-CN" w:bidi="ar"/>
        </w:rPr>
        <w:t>44.5704</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val="en-US" w:eastAsia="zh-CN" w:bidi="ar"/>
        </w:rPr>
        <w:t>、草地1.5893公顷、</w:t>
      </w:r>
      <w:r>
        <w:rPr>
          <w:rFonts w:hint="default" w:ascii="Times New Roman" w:hAnsi="Times New Roman" w:eastAsia="仿宋_GB2312" w:cs="Times New Roman"/>
          <w:color w:val="000000"/>
          <w:sz w:val="32"/>
          <w:szCs w:val="32"/>
          <w:lang w:bidi="ar"/>
        </w:rPr>
        <w:t>其他农用地</w:t>
      </w:r>
      <w:r>
        <w:rPr>
          <w:rFonts w:hint="eastAsia" w:ascii="Times New Roman" w:hAnsi="Times New Roman" w:eastAsia="仿宋_GB2312" w:cs="Times New Roman"/>
          <w:color w:val="000000"/>
          <w:sz w:val="32"/>
          <w:szCs w:val="32"/>
          <w:lang w:val="en-US" w:eastAsia="zh-CN" w:bidi="ar"/>
        </w:rPr>
        <w:t>0.4583</w:t>
      </w:r>
      <w:r>
        <w:rPr>
          <w:rFonts w:hint="default" w:ascii="Times New Roman" w:hAnsi="Times New Roman" w:eastAsia="仿宋_GB2312" w:cs="Times New Roman"/>
          <w:color w:val="000000"/>
          <w:sz w:val="32"/>
          <w:szCs w:val="32"/>
          <w:lang w:bidi="ar"/>
        </w:rPr>
        <w:t>公顷</w:t>
      </w:r>
      <w:r>
        <w:rPr>
          <w:rFonts w:hint="eastAsia" w:ascii="Times New Roman" w:hAnsi="Times New Roman" w:eastAsia="仿宋_GB2312" w:cs="Times New Roman"/>
          <w:color w:val="000000"/>
          <w:sz w:val="32"/>
          <w:szCs w:val="32"/>
          <w:lang w:eastAsia="zh-CN" w:bidi="ar"/>
        </w:rPr>
        <w:t>）</w:t>
      </w:r>
      <w:r>
        <w:rPr>
          <w:rFonts w:hint="default" w:ascii="Times New Roman" w:hAnsi="Times New Roman" w:eastAsia="仿宋_GB2312" w:cs="Times New Roman"/>
          <w:color w:val="000000"/>
          <w:sz w:val="32"/>
          <w:szCs w:val="32"/>
          <w:lang w:bidi="ar"/>
        </w:rPr>
        <w:t>。</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color w:val="000000"/>
          <w:sz w:val="32"/>
          <w:szCs w:val="32"/>
          <w:lang w:val="en-US" w:eastAsia="zh-CN" w:bidi="ar"/>
        </w:rPr>
      </w:pPr>
      <w:r>
        <w:rPr>
          <w:rFonts w:hint="default" w:ascii="Times New Roman" w:hAnsi="Times New Roman" w:eastAsia="仿宋_GB2312" w:cs="Times New Roman"/>
          <w:color w:val="000000"/>
          <w:sz w:val="32"/>
          <w:szCs w:val="32"/>
          <w:lang w:val="en-US" w:eastAsia="zh-CN" w:bidi="ar"/>
        </w:rPr>
        <w:t>征地补偿标准</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土地补偿和安置补助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土地补偿费与安置补偿费一览表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right"/>
        <w:textAlignment w:val="auto"/>
        <w:rPr>
          <w:rFonts w:hint="default" w:ascii="Times New Roman" w:hAnsi="Times New Roman" w:eastAsia="仿宋_GB2312" w:cs="Times New Roman"/>
          <w:b/>
          <w:bCs/>
          <w:sz w:val="28"/>
          <w:szCs w:val="28"/>
          <w:lang w:val="en-US" w:eastAsia="zh-CN"/>
        </w:rPr>
      </w:pPr>
      <w:r>
        <w:rPr>
          <w:rFonts w:hint="default" w:ascii="Times New Roman" w:hAnsi="Times New Roman" w:eastAsia="仿宋_GB2312" w:cs="Times New Roman"/>
          <w:b/>
          <w:bCs/>
          <w:sz w:val="28"/>
          <w:szCs w:val="28"/>
          <w:lang w:val="en-US" w:eastAsia="zh-CN"/>
        </w:rPr>
        <w:t>（单位：公顷、万元/公顷、万元）</w:t>
      </w:r>
    </w:p>
    <w:tbl>
      <w:tblPr>
        <w:tblStyle w:val="2"/>
        <w:tblW w:w="937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478"/>
        <w:gridCol w:w="765"/>
        <w:gridCol w:w="1065"/>
        <w:gridCol w:w="795"/>
        <w:gridCol w:w="1215"/>
        <w:gridCol w:w="750"/>
        <w:gridCol w:w="1155"/>
        <w:gridCol w:w="11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5" w:hRule="atLeast"/>
          <w:tblHeader/>
          <w:jc w:val="center"/>
        </w:trPr>
        <w:tc>
          <w:tcPr>
            <w:tcW w:w="2478"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被征地单位</w:t>
            </w:r>
          </w:p>
        </w:tc>
        <w:tc>
          <w:tcPr>
            <w:tcW w:w="765"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土地类别</w:t>
            </w:r>
          </w:p>
        </w:tc>
        <w:tc>
          <w:tcPr>
            <w:tcW w:w="1065"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面积</w:t>
            </w:r>
          </w:p>
        </w:tc>
        <w:tc>
          <w:tcPr>
            <w:tcW w:w="2010"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土地补偿</w:t>
            </w:r>
            <w:r>
              <w:rPr>
                <w:rFonts w:hint="default" w:ascii="Times New Roman" w:hAnsi="Times New Roman" w:eastAsia="仿宋_GB2312" w:cs="Times New Roman"/>
                <w:b/>
                <w:bCs/>
                <w:color w:val="000000"/>
                <w:kern w:val="0"/>
                <w:sz w:val="22"/>
                <w:szCs w:val="22"/>
                <w:lang w:val="en-US" w:eastAsia="zh-CN"/>
              </w:rPr>
              <w:t>费</w:t>
            </w:r>
          </w:p>
        </w:tc>
        <w:tc>
          <w:tcPr>
            <w:tcW w:w="1905" w:type="dxa"/>
            <w:gridSpan w:val="2"/>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eastAsia="zh-CN"/>
              </w:rPr>
            </w:pPr>
            <w:r>
              <w:rPr>
                <w:rFonts w:hint="default" w:ascii="Times New Roman" w:hAnsi="Times New Roman" w:eastAsia="仿宋_GB2312" w:cs="Times New Roman"/>
                <w:b/>
                <w:bCs/>
                <w:color w:val="000000"/>
                <w:kern w:val="0"/>
                <w:sz w:val="22"/>
                <w:szCs w:val="22"/>
              </w:rPr>
              <w:t>安置补助</w:t>
            </w:r>
            <w:r>
              <w:rPr>
                <w:rFonts w:hint="default" w:ascii="Times New Roman" w:hAnsi="Times New Roman" w:eastAsia="仿宋_GB2312" w:cs="Times New Roman"/>
                <w:b/>
                <w:bCs/>
                <w:color w:val="000000"/>
                <w:kern w:val="0"/>
                <w:sz w:val="22"/>
                <w:szCs w:val="22"/>
                <w:lang w:val="en-US" w:eastAsia="zh-CN"/>
              </w:rPr>
              <w:t>费</w:t>
            </w:r>
          </w:p>
        </w:tc>
        <w:tc>
          <w:tcPr>
            <w:tcW w:w="1156" w:type="dxa"/>
            <w:vMerge w:val="restart"/>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5" w:hRule="atLeast"/>
          <w:tblHeader/>
          <w:jc w:val="center"/>
        </w:trPr>
        <w:tc>
          <w:tcPr>
            <w:tcW w:w="2478"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765"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1065" w:type="dxa"/>
            <w:vMerge w:val="continue"/>
            <w:tcBorders>
              <w:tl2br w:val="nil"/>
              <w:tr2bl w:val="nil"/>
            </w:tcBorders>
            <w:noWrap w:val="0"/>
            <w:vAlign w:val="center"/>
          </w:tcPr>
          <w:p>
            <w:pPr>
              <w:widowControl/>
              <w:jc w:val="left"/>
              <w:rPr>
                <w:rFonts w:hint="default" w:ascii="Times New Roman" w:hAnsi="Times New Roman" w:eastAsia="仿宋_GB2312" w:cs="Times New Roman"/>
                <w:b/>
                <w:bCs/>
                <w:color w:val="000000"/>
                <w:kern w:val="0"/>
                <w:sz w:val="22"/>
                <w:szCs w:val="22"/>
              </w:rPr>
            </w:pPr>
          </w:p>
        </w:tc>
        <w:tc>
          <w:tcPr>
            <w:tcW w:w="795"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215"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750"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r>
              <w:rPr>
                <w:rFonts w:hint="default" w:ascii="Times New Roman" w:hAnsi="Times New Roman" w:eastAsia="仿宋_GB2312" w:cs="Times New Roman"/>
                <w:b/>
                <w:bCs/>
                <w:color w:val="000000"/>
                <w:kern w:val="0"/>
                <w:sz w:val="22"/>
                <w:szCs w:val="22"/>
                <w:lang w:val="en-US" w:eastAsia="zh-CN"/>
              </w:rPr>
              <w:t>补偿</w:t>
            </w:r>
            <w:r>
              <w:rPr>
                <w:rFonts w:hint="default" w:ascii="Times New Roman" w:hAnsi="Times New Roman" w:eastAsia="仿宋_GB2312" w:cs="Times New Roman"/>
                <w:b/>
                <w:bCs/>
                <w:color w:val="000000"/>
                <w:kern w:val="0"/>
                <w:sz w:val="22"/>
                <w:szCs w:val="22"/>
              </w:rPr>
              <w:t>标准</w:t>
            </w:r>
          </w:p>
        </w:tc>
        <w:tc>
          <w:tcPr>
            <w:tcW w:w="1155" w:type="dxa"/>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lang w:val="en-US"/>
              </w:rPr>
            </w:pPr>
            <w:r>
              <w:rPr>
                <w:rFonts w:hint="default" w:ascii="Times New Roman" w:hAnsi="Times New Roman" w:eastAsia="仿宋_GB2312" w:cs="Times New Roman"/>
                <w:b/>
                <w:bCs/>
                <w:color w:val="000000"/>
                <w:kern w:val="0"/>
                <w:sz w:val="22"/>
                <w:szCs w:val="22"/>
                <w:lang w:val="en-US" w:eastAsia="zh-CN"/>
              </w:rPr>
              <w:t>补偿金额</w:t>
            </w:r>
          </w:p>
        </w:tc>
        <w:tc>
          <w:tcPr>
            <w:tcW w:w="1156" w:type="dxa"/>
            <w:vMerge w:val="continue"/>
            <w:tcBorders>
              <w:tl2br w:val="nil"/>
              <w:tr2bl w:val="nil"/>
            </w:tcBorders>
            <w:noWrap w:val="0"/>
            <w:vAlign w:val="center"/>
          </w:tcPr>
          <w:p>
            <w:pPr>
              <w:widowControl/>
              <w:jc w:val="center"/>
              <w:rPr>
                <w:rFonts w:hint="default" w:ascii="Times New Roman" w:hAnsi="Times New Roman" w:eastAsia="仿宋_GB2312" w:cs="Times New Roman"/>
                <w:b/>
                <w:bCs/>
                <w:color w:val="000000"/>
                <w:kern w:val="0"/>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广州市黄埔区新龙镇福山村岐一经济合作社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1.0845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76.1319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135.3456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211.4775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广州市黄埔区新龙镇福山村岐二经济合作社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8.1105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569.3571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1012.1904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1581.5475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广州市黄埔区新龙镇福山村经济联合社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9.0376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634.4395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1127.8925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1762.3320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广州市黄埔区新龙镇福山村大田经济合作社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仿宋_GB2312" w:cs="Times New Roman"/>
                <w:b/>
                <w:bCs/>
                <w:color w:val="000000"/>
                <w:kern w:val="0"/>
                <w:sz w:val="22"/>
                <w:szCs w:val="22"/>
                <w:lang w:val="en-US" w:eastAsia="zh-CN" w:bidi="ar-SA"/>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0.0272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1.9094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3.3946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5.3040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广州市黄埔区新龙镇福山村坪山经济合作社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25.0270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1756.8954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3123.3696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4880.2650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广州市黄埔区新龙镇福山村库一经济合作社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1.5360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107.8272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191.6928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299.5200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2478" w:type="dxa"/>
            <w:tcBorders>
              <w:tl2br w:val="nil"/>
              <w:tr2bl w:val="nil"/>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广州市黄埔区新龙镇福山村库二经济合作社</w:t>
            </w:r>
          </w:p>
        </w:tc>
        <w:tc>
          <w:tcPr>
            <w:tcW w:w="765" w:type="dxa"/>
            <w:tcBorders>
              <w:tl2br w:val="nil"/>
              <w:tr2bl w:val="nil"/>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集体土地</w:t>
            </w:r>
          </w:p>
        </w:tc>
        <w:tc>
          <w:tcPr>
            <w:tcW w:w="1065" w:type="dxa"/>
            <w:tcBorders>
              <w:tl2br w:val="nil"/>
              <w:tr2bl w:val="nil"/>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1.7952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70.2</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126.0230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124.8</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auto"/>
                <w:kern w:val="0"/>
                <w:sz w:val="22"/>
                <w:szCs w:val="22"/>
                <w:u w:val="none"/>
                <w:lang w:val="en-US" w:eastAsia="zh-CN" w:bidi="ar"/>
              </w:rPr>
              <w:t xml:space="preserve">224.0410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2"/>
                <w:szCs w:val="22"/>
                <w:u w:val="none"/>
                <w:lang w:val="en-US" w:eastAsia="zh-CN" w:bidi="ar"/>
              </w:rPr>
            </w:pPr>
            <w:r>
              <w:rPr>
                <w:rFonts w:hint="default" w:ascii="Times New Roman" w:hAnsi="Times New Roman" w:eastAsia="宋体" w:cs="Times New Roman"/>
                <w:i w:val="0"/>
                <w:iCs w:val="0"/>
                <w:color w:val="auto"/>
                <w:kern w:val="0"/>
                <w:sz w:val="22"/>
                <w:szCs w:val="22"/>
                <w:u w:val="none"/>
                <w:lang w:val="en-US" w:eastAsia="zh-CN" w:bidi="ar"/>
              </w:rPr>
              <w:t xml:space="preserve">350.0640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8" w:hRule="atLeast"/>
          <w:jc w:val="center"/>
        </w:trPr>
        <w:tc>
          <w:tcPr>
            <w:tcW w:w="3243" w:type="dxa"/>
            <w:gridSpan w:val="2"/>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b/>
                <w:bCs/>
                <w:color w:val="000000"/>
                <w:kern w:val="0"/>
                <w:sz w:val="22"/>
                <w:szCs w:val="22"/>
                <w:lang w:val="en-US" w:eastAsia="zh-CN"/>
              </w:rPr>
            </w:pPr>
            <w:r>
              <w:rPr>
                <w:rFonts w:hint="eastAsia" w:ascii="仿宋_GB2312" w:hAnsi="仿宋_GB2312" w:eastAsia="仿宋_GB2312" w:cs="仿宋_GB2312"/>
                <w:b/>
                <w:bCs/>
                <w:i w:val="0"/>
                <w:iCs w:val="0"/>
                <w:color w:val="000000"/>
                <w:kern w:val="0"/>
                <w:sz w:val="22"/>
                <w:szCs w:val="22"/>
                <w:u w:val="none"/>
                <w:lang w:val="en-US" w:eastAsia="zh-CN" w:bidi="ar"/>
              </w:rPr>
              <w:t>合计</w:t>
            </w:r>
          </w:p>
        </w:tc>
        <w:tc>
          <w:tcPr>
            <w:tcW w:w="106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 xml:space="preserve">46.6180 </w:t>
            </w:r>
          </w:p>
        </w:tc>
        <w:tc>
          <w:tcPr>
            <w:tcW w:w="79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21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 xml:space="preserve">3272.5835 </w:t>
            </w:r>
          </w:p>
        </w:tc>
        <w:tc>
          <w:tcPr>
            <w:tcW w:w="750"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w:t>
            </w:r>
          </w:p>
        </w:tc>
        <w:tc>
          <w:tcPr>
            <w:tcW w:w="1155"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 xml:space="preserve">5817.9265 </w:t>
            </w:r>
          </w:p>
        </w:tc>
        <w:tc>
          <w:tcPr>
            <w:tcW w:w="1156" w:type="dxa"/>
            <w:tcBorders>
              <w:tl2br w:val="nil"/>
              <w:tr2bl w:val="nil"/>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kern w:val="0"/>
                <w:sz w:val="22"/>
                <w:szCs w:val="22"/>
                <w:u w:val="none"/>
                <w:lang w:val="en-US" w:eastAsia="zh-CN" w:bidi="ar"/>
              </w:rPr>
            </w:pPr>
            <w:r>
              <w:rPr>
                <w:rFonts w:hint="default" w:ascii="Times New Roman" w:hAnsi="Times New Roman" w:eastAsia="宋体" w:cs="Times New Roman"/>
                <w:b/>
                <w:bCs/>
                <w:i w:val="0"/>
                <w:iCs w:val="0"/>
                <w:color w:val="000000"/>
                <w:kern w:val="0"/>
                <w:sz w:val="22"/>
                <w:szCs w:val="22"/>
                <w:u w:val="none"/>
                <w:lang w:val="en-US" w:eastAsia="zh-CN" w:bidi="ar"/>
              </w:rPr>
              <w:t xml:space="preserve">9090.5100 </w:t>
            </w:r>
          </w:p>
        </w:tc>
      </w:tr>
    </w:tbl>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青苗</w:t>
      </w:r>
      <w:r>
        <w:rPr>
          <w:rFonts w:hint="default" w:ascii="Times New Roman" w:hAnsi="Times New Roman" w:eastAsia="仿宋_GB2312" w:cs="Times New Roman"/>
          <w:color w:val="auto"/>
          <w:sz w:val="32"/>
          <w:szCs w:val="32"/>
          <w:lang w:val="en-US" w:eastAsia="zh-CN"/>
        </w:rPr>
        <w:t>补偿费</w:t>
      </w:r>
      <w:r>
        <w:rPr>
          <w:rFonts w:hint="eastAsia" w:ascii="Times New Roman" w:hAnsi="Times New Roman" w:eastAsia="仿宋_GB2312" w:cs="Times New Roman"/>
          <w:color w:val="auto"/>
          <w:sz w:val="32"/>
          <w:szCs w:val="32"/>
          <w:lang w:val="en-US" w:eastAsia="zh-CN"/>
        </w:rPr>
        <w:t>及地上附着物补偿费共3006.8611万元</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农业人口安置。</w:t>
      </w:r>
      <w:r>
        <w:rPr>
          <w:rFonts w:hint="default" w:ascii="Times New Roman" w:hAnsi="Times New Roman" w:eastAsia="仿宋_GB2312" w:cs="Times New Roman"/>
          <w:color w:val="000000"/>
          <w:sz w:val="32"/>
          <w:szCs w:val="32"/>
        </w:rPr>
        <w:t>本次征收土地所涉及的被安置农业人员由被征地村以货币补偿的形式安置。征地批复后，由被征地农村经济经济组织在征地公告期内到</w:t>
      </w:r>
      <w:r>
        <w:rPr>
          <w:rFonts w:hint="default" w:ascii="Times New Roman" w:hAnsi="Times New Roman" w:eastAsia="仿宋_GB2312" w:cs="Times New Roman"/>
          <w:sz w:val="32"/>
          <w:szCs w:val="32"/>
        </w:rPr>
        <w:t>广州开发区规划和自然资源</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color w:val="000000"/>
          <w:sz w:val="32"/>
          <w:szCs w:val="32"/>
        </w:rPr>
        <w:t>领取办理安置农业人口征地农转非手续的函件。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安置措施情况</w:t>
      </w:r>
    </w:p>
    <w:tbl>
      <w:tblPr>
        <w:tblStyle w:val="2"/>
        <w:tblpPr w:leftFromText="180" w:rightFromText="180" w:vertAnchor="text" w:horzAnchor="page" w:tblpX="1336" w:tblpY="4142"/>
        <w:tblOverlap w:val="never"/>
        <w:tblW w:w="9781" w:type="dxa"/>
        <w:tblInd w:w="0" w:type="dxa"/>
        <w:tblLayout w:type="autofit"/>
        <w:tblCellMar>
          <w:top w:w="0" w:type="dxa"/>
          <w:left w:w="108" w:type="dxa"/>
          <w:bottom w:w="0" w:type="dxa"/>
          <w:right w:w="108" w:type="dxa"/>
        </w:tblCellMar>
      </w:tblPr>
      <w:tblGrid>
        <w:gridCol w:w="4536"/>
        <w:gridCol w:w="5245"/>
      </w:tblGrid>
      <w:tr>
        <w:tblPrEx>
          <w:tblCellMar>
            <w:top w:w="0" w:type="dxa"/>
            <w:left w:w="108" w:type="dxa"/>
            <w:bottom w:w="0" w:type="dxa"/>
            <w:right w:w="108" w:type="dxa"/>
          </w:tblCellMar>
        </w:tblPrEx>
        <w:tc>
          <w:tcPr>
            <w:tcW w:w="4536"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val="0"/>
            <w:vAlign w:val="top"/>
          </w:tcPr>
          <w:p>
            <w:pPr>
              <w:rPr>
                <w:rFonts w:hint="eastAsia"/>
              </w:rPr>
            </w:pPr>
          </w:p>
        </w:tc>
        <w:tc>
          <w:tcPr>
            <w:tcW w:w="524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noWrap w:val="0"/>
            <w:vAlign w:val="top"/>
          </w:tcPr>
          <w:p>
            <w:pPr>
              <w:tabs>
                <w:tab w:val="left" w:pos="4712"/>
              </w:tabs>
              <w:spacing w:line="520" w:lineRule="exact"/>
              <w:ind w:right="-108"/>
              <w:jc w:val="center"/>
              <w:rPr>
                <w:rFonts w:hint="eastAsia"/>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为妥善安置被征地农民，切实解决被征地农民的生产生活出路，在保证货币安置落实的同时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根据留用地安置的相关</w:t>
      </w:r>
      <w:r>
        <w:rPr>
          <w:rFonts w:hint="default" w:ascii="Times New Roman" w:hAnsi="Times New Roman" w:eastAsia="仿宋_GB2312" w:cs="Times New Roman"/>
          <w:sz w:val="32"/>
          <w:szCs w:val="32"/>
          <w:lang w:val="en-US" w:eastAsia="zh-CN"/>
        </w:rPr>
        <w:t>文件</w:t>
      </w:r>
      <w:r>
        <w:rPr>
          <w:rFonts w:hint="default" w:ascii="Times New Roman" w:hAnsi="Times New Roman" w:eastAsia="仿宋_GB2312" w:cs="Times New Roman"/>
          <w:sz w:val="32"/>
          <w:szCs w:val="32"/>
        </w:rPr>
        <w:t>规定，我区将按</w:t>
      </w:r>
      <w:r>
        <w:rPr>
          <w:rFonts w:hint="default" w:ascii="Times New Roman" w:hAnsi="Times New Roman" w:eastAsia="仿宋_GB2312" w:cs="Times New Roman"/>
          <w:sz w:val="32"/>
          <w:szCs w:val="32"/>
          <w:lang w:eastAsia="zh-CN"/>
        </w:rPr>
        <w:t>实际征收</w:t>
      </w:r>
      <w:r>
        <w:rPr>
          <w:rFonts w:hint="default" w:ascii="Times New Roman" w:hAnsi="Times New Roman" w:eastAsia="仿宋_GB2312" w:cs="Times New Roman"/>
          <w:sz w:val="32"/>
          <w:szCs w:val="32"/>
        </w:rPr>
        <w:t>面积的</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10%</w:t>
      </w:r>
      <w:r>
        <w:rPr>
          <w:rFonts w:hint="default" w:ascii="Times New Roman" w:hAnsi="Times New Roman" w:eastAsia="仿宋_GB2312" w:cs="Times New Roman"/>
          <w:sz w:val="32"/>
          <w:szCs w:val="32"/>
        </w:rPr>
        <w:t>安排村集体留用地</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在该批次用地红线范围外安排解决</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给上述被征地农民落实基本养老保障和培训就业等社会保障措施，确保被征地农民的原有生活水平不降低，长远生计有保障，具体将按省的征地社会保障实施方案办理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bookmarkStart w:id="0" w:name="_GoBack"/>
      <w:bookmarkEnd w:id="0"/>
    </w:p>
    <w:tbl>
      <w:tblPr>
        <w:tblStyle w:val="2"/>
        <w:tblpPr w:leftFromText="180" w:rightFromText="180" w:vertAnchor="text" w:horzAnchor="page" w:tblpX="1195" w:tblpY="183"/>
        <w:tblOverlap w:val="never"/>
        <w:tblW w:w="9781" w:type="dxa"/>
        <w:tblInd w:w="0" w:type="dxa"/>
        <w:tblLayout w:type="autofit"/>
        <w:tblCellMar>
          <w:top w:w="0" w:type="dxa"/>
          <w:left w:w="108" w:type="dxa"/>
          <w:bottom w:w="0" w:type="dxa"/>
          <w:right w:w="108" w:type="dxa"/>
        </w:tblCellMar>
      </w:tblPr>
      <w:tblGrid>
        <w:gridCol w:w="4536"/>
        <w:gridCol w:w="5245"/>
      </w:tblGrid>
      <w:tr>
        <w:tblPrEx>
          <w:tblCellMar>
            <w:top w:w="0" w:type="dxa"/>
            <w:left w:w="108" w:type="dxa"/>
            <w:bottom w:w="0" w:type="dxa"/>
            <w:right w:w="108" w:type="dxa"/>
          </w:tblCellMar>
        </w:tblPrEx>
        <w:tc>
          <w:tcPr>
            <w:tcW w:w="4536" w:type="dxa"/>
            <w:tcBorders>
              <w:top w:val="single" w:color="FFFFFF" w:themeColor="background1" w:sz="2" w:space="0"/>
              <w:left w:val="single" w:color="FFFFFF" w:themeColor="background1" w:sz="2" w:space="0"/>
              <w:bottom w:val="single" w:color="FFFFFF" w:themeColor="background1" w:sz="2" w:space="0"/>
              <w:right w:val="single" w:color="FFFFFF" w:themeColor="background1" w:sz="2" w:space="0"/>
            </w:tcBorders>
            <w:noWrap w:val="0"/>
            <w:vAlign w:val="top"/>
          </w:tcPr>
          <w:p>
            <w:pPr>
              <w:rPr>
                <w:rFonts w:hint="eastAsia"/>
              </w:rPr>
            </w:pPr>
            <w:r>
              <w:rPr>
                <w:rFonts w:hint="eastAsia" w:eastAsia="仿宋_GB2312"/>
                <w:sz w:val="32"/>
                <w:szCs w:val="32"/>
              </w:rPr>
              <w:t>广州开发区规划和自然资源局</w:t>
            </w:r>
          </w:p>
        </w:tc>
        <w:tc>
          <w:tcPr>
            <w:tcW w:w="5245" w:type="dxa"/>
            <w:tcBorders>
              <w:top w:val="single" w:color="FFFFFF" w:themeColor="background1" w:sz="2" w:space="0"/>
              <w:left w:val="single" w:color="FFFFFF" w:themeColor="background1" w:sz="2" w:space="0"/>
              <w:bottom w:val="single" w:color="FFFFFF" w:themeColor="background1" w:sz="2" w:space="0"/>
              <w:right w:val="single" w:color="FFFFFF" w:themeColor="background1" w:sz="2" w:space="0"/>
            </w:tcBorders>
            <w:noWrap w:val="0"/>
            <w:vAlign w:val="top"/>
          </w:tcPr>
          <w:p>
            <w:pPr>
              <w:tabs>
                <w:tab w:val="left" w:pos="4826"/>
              </w:tabs>
              <w:spacing w:line="520" w:lineRule="exact"/>
              <w:ind w:right="-654"/>
              <w:rPr>
                <w:rFonts w:hint="eastAsia" w:eastAsia="仿宋_GB2312"/>
                <w:sz w:val="32"/>
                <w:szCs w:val="32"/>
              </w:rPr>
            </w:pPr>
            <w:r>
              <w:rPr>
                <w:rFonts w:hint="eastAsia" w:eastAsia="仿宋_GB2312"/>
                <w:sz w:val="32"/>
                <w:szCs w:val="32"/>
              </w:rPr>
              <w:t>广州市规划和自然资源局黄埔区分局</w:t>
            </w:r>
          </w:p>
          <w:p>
            <w:pPr>
              <w:tabs>
                <w:tab w:val="left" w:pos="4712"/>
              </w:tabs>
              <w:spacing w:line="520" w:lineRule="exact"/>
              <w:ind w:right="-108"/>
              <w:jc w:val="center"/>
              <w:rPr>
                <w:rFonts w:hint="eastAsia"/>
              </w:rPr>
            </w:pP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20</w:t>
            </w:r>
            <w:r>
              <w:rPr>
                <w:rFonts w:hint="eastAsia" w:ascii="Times New Roman" w:hAnsi="Times New Roman" w:eastAsia="仿宋_GB2312" w:cs="Times New Roman"/>
                <w:snapToGrid/>
                <w:color w:val="auto"/>
                <w:sz w:val="32"/>
                <w:szCs w:val="32"/>
                <w:highlight w:val="none"/>
                <w:u w:val="none" w:color="auto"/>
                <w:shd w:val="clear" w:color="auto" w:fill="FFFFFF"/>
                <w:lang w:val="en-US" w:eastAsia="zh-CN"/>
              </w:rPr>
              <w:t>23年4月24</w:t>
            </w:r>
            <w:r>
              <w:rPr>
                <w:rFonts w:hint="default" w:ascii="Times New Roman" w:hAnsi="Times New Roman" w:eastAsia="仿宋_GB2312" w:cs="Times New Roman"/>
                <w:snapToGrid/>
                <w:color w:val="auto"/>
                <w:sz w:val="32"/>
                <w:szCs w:val="32"/>
                <w:highlight w:val="none"/>
                <w:u w:val="none" w:color="auto"/>
                <w:shd w:val="clear" w:color="auto" w:fill="FFFFFF"/>
                <w:lang w:val="en-US" w:eastAsia="zh-CN"/>
              </w:rPr>
              <w:t>日</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p>
    <w:sectPr>
      <w:pgSz w:w="11906" w:h="16838"/>
      <w:pgMar w:top="1417" w:right="1587" w:bottom="1417"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5E5F31"/>
    <w:multiLevelType w:val="singleLevel"/>
    <w:tmpl w:val="805E5F31"/>
    <w:lvl w:ilvl="0" w:tentative="0">
      <w:start w:val="1"/>
      <w:numFmt w:val="chineseCounting"/>
      <w:suff w:val="nothing"/>
      <w:lvlText w:val="（%1）"/>
      <w:lvlJc w:val="left"/>
      <w:rPr>
        <w:rFonts w:hint="eastAsia"/>
      </w:rPr>
    </w:lvl>
  </w:abstractNum>
  <w:abstractNum w:abstractNumId="1">
    <w:nsid w:val="3195F1B0"/>
    <w:multiLevelType w:val="singleLevel"/>
    <w:tmpl w:val="3195F1B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NDc5MjJjMmYxYTg0ZDc1OWNiNDVhMDQxZTE5YmYifQ=="/>
  </w:docVars>
  <w:rsids>
    <w:rsidRoot w:val="6F904891"/>
    <w:rsid w:val="001572D6"/>
    <w:rsid w:val="043D5409"/>
    <w:rsid w:val="06B44636"/>
    <w:rsid w:val="07EC610C"/>
    <w:rsid w:val="0F653D08"/>
    <w:rsid w:val="0F9073D0"/>
    <w:rsid w:val="11286134"/>
    <w:rsid w:val="11DB1F22"/>
    <w:rsid w:val="1305476D"/>
    <w:rsid w:val="14234C20"/>
    <w:rsid w:val="15390318"/>
    <w:rsid w:val="17EC7BCA"/>
    <w:rsid w:val="18243F2C"/>
    <w:rsid w:val="1A8B0AEC"/>
    <w:rsid w:val="1B8368F3"/>
    <w:rsid w:val="236D51B4"/>
    <w:rsid w:val="2591116E"/>
    <w:rsid w:val="26DE174A"/>
    <w:rsid w:val="28F12E95"/>
    <w:rsid w:val="2ABE5B1A"/>
    <w:rsid w:val="2D063B65"/>
    <w:rsid w:val="2FA951A8"/>
    <w:rsid w:val="337B4EAB"/>
    <w:rsid w:val="39DF0BD7"/>
    <w:rsid w:val="40637CF9"/>
    <w:rsid w:val="4137018A"/>
    <w:rsid w:val="41F5678E"/>
    <w:rsid w:val="430309FB"/>
    <w:rsid w:val="43CF14AC"/>
    <w:rsid w:val="45943EE9"/>
    <w:rsid w:val="482927C3"/>
    <w:rsid w:val="4D8B5B2D"/>
    <w:rsid w:val="51D04C64"/>
    <w:rsid w:val="52180177"/>
    <w:rsid w:val="538B4DA7"/>
    <w:rsid w:val="555111B5"/>
    <w:rsid w:val="5B8E59E1"/>
    <w:rsid w:val="5B9916F5"/>
    <w:rsid w:val="5F0F39F7"/>
    <w:rsid w:val="5FD03B44"/>
    <w:rsid w:val="60D463C4"/>
    <w:rsid w:val="61834DEC"/>
    <w:rsid w:val="667857E7"/>
    <w:rsid w:val="67821990"/>
    <w:rsid w:val="6B9E543D"/>
    <w:rsid w:val="6D966E0E"/>
    <w:rsid w:val="6F904891"/>
    <w:rsid w:val="74967EBD"/>
    <w:rsid w:val="75B73245"/>
    <w:rsid w:val="75F32054"/>
    <w:rsid w:val="768255EF"/>
    <w:rsid w:val="7A322032"/>
    <w:rsid w:val="7B454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1050</Words>
  <Characters>1363</Characters>
  <Lines>0</Lines>
  <Paragraphs>0</Paragraphs>
  <TotalTime>1</TotalTime>
  <ScaleCrop>false</ScaleCrop>
  <LinksUpToDate>false</LinksUpToDate>
  <CharactersWithSpaces>1395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2022-01-24T06:20:00Z</dcterms:created>
  <dc:creator>回忆か~捉不到</dc:creator>
  <cp:lastModifiedBy>剑锋</cp:lastModifiedBy>
  <dcterms:modified xsi:type="dcterms:W3CDTF">2023-05-10T06:11:39Z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5B9232B0420C4099A1D401C4350B46CD</vt:lpwstr>
  </property>
</Properties>
</file>