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pPr>
      <w:bookmarkStart w:id="0" w:name="_Toc49719358"/>
      <w:bookmarkStart w:id="1" w:name="_Toc27100"/>
      <w:r>
        <w:rPr>
          <w:rFonts w:hint="eastAsia"/>
        </w:rPr>
        <w:t>广</w:t>
      </w:r>
      <w:bookmarkStart w:id="2" w:name="_Hlk46684256"/>
      <w:r>
        <w:rPr>
          <w:rFonts w:hint="eastAsia"/>
        </w:rPr>
        <w:t>州市城市更新单元设施配建指引</w:t>
      </w:r>
      <w:bookmarkEnd w:id="0"/>
      <w:bookmarkEnd w:id="1"/>
      <w:bookmarkEnd w:id="2"/>
    </w:p>
    <w:p>
      <w:pPr>
        <w:spacing w:line="560" w:lineRule="exact"/>
        <w:jc w:val="center"/>
        <w:rPr>
          <w:rFonts w:ascii="楷体_GB2312" w:hAnsi="楷体_GB2312" w:eastAsia="楷体_GB2312" w:cs="楷体_GB2312"/>
          <w:b/>
          <w:bCs/>
          <w:sz w:val="30"/>
          <w:szCs w:val="30"/>
        </w:rPr>
      </w:pPr>
      <w:r>
        <w:rPr>
          <w:rFonts w:hint="eastAsia" w:ascii="楷体_GB2312" w:hAnsi="楷体_GB2312" w:eastAsia="楷体_GB2312" w:cs="楷体_GB2312"/>
          <w:b/>
          <w:bCs/>
          <w:sz w:val="30"/>
          <w:szCs w:val="30"/>
        </w:rPr>
        <w:t>（</w:t>
      </w:r>
      <w:r>
        <w:rPr>
          <w:rFonts w:hint="eastAsia" w:ascii="楷体_GB2312" w:hAnsi="楷体_GB2312" w:eastAsia="楷体_GB2312" w:cs="楷体_GB2312"/>
          <w:b/>
          <w:bCs/>
          <w:sz w:val="30"/>
          <w:szCs w:val="30"/>
          <w:lang w:val="en-US" w:eastAsia="zh-CN"/>
        </w:rPr>
        <w:t>2022年</w:t>
      </w:r>
      <w:r>
        <w:rPr>
          <w:rFonts w:hint="eastAsia" w:ascii="楷体_GB2312" w:hAnsi="楷体_GB2312" w:eastAsia="楷体_GB2312" w:cs="楷体_GB2312"/>
          <w:b/>
          <w:bCs/>
          <w:sz w:val="30"/>
          <w:szCs w:val="30"/>
        </w:rPr>
        <w:t>修订稿</w:t>
      </w:r>
      <w:bookmarkStart w:id="6" w:name="_GoBack"/>
      <w:bookmarkEnd w:id="6"/>
      <w:r>
        <w:rPr>
          <w:rFonts w:hint="eastAsia" w:ascii="楷体_GB2312" w:hAnsi="楷体_GB2312" w:eastAsia="楷体_GB2312" w:cs="楷体_GB2312"/>
          <w:b/>
          <w:bCs/>
          <w:sz w:val="30"/>
          <w:szCs w:val="30"/>
        </w:rPr>
        <w:t>）</w:t>
      </w:r>
    </w:p>
    <w:p/>
    <w:p>
      <w:pPr>
        <w:overflowPunct w:val="0"/>
        <w:spacing w:line="560" w:lineRule="exact"/>
        <w:ind w:firstLine="640" w:firstLineChars="200"/>
        <w:rPr>
          <w:rFonts w:eastAsia="黑体"/>
          <w:bCs/>
          <w:szCs w:val="32"/>
        </w:rPr>
      </w:pPr>
      <w:r>
        <w:rPr>
          <w:rFonts w:eastAsia="黑体"/>
          <w:bCs/>
          <w:szCs w:val="32"/>
        </w:rPr>
        <w:t>一、总则</w:t>
      </w:r>
    </w:p>
    <w:p>
      <w:pPr>
        <w:spacing w:line="560" w:lineRule="exact"/>
        <w:ind w:firstLine="640" w:firstLineChars="200"/>
        <w:rPr>
          <w:rFonts w:eastAsia="楷体_GB2312"/>
        </w:rPr>
      </w:pPr>
      <w:r>
        <w:rPr>
          <w:rFonts w:eastAsia="楷体_GB2312"/>
        </w:rPr>
        <w:t>（一）工作目标</w:t>
      </w:r>
      <w:r>
        <w:rPr>
          <w:rFonts w:hint="eastAsia" w:eastAsia="楷体_GB2312"/>
        </w:rPr>
        <w:t>。</w:t>
      </w:r>
    </w:p>
    <w:p>
      <w:pPr>
        <w:spacing w:line="560" w:lineRule="exact"/>
        <w:ind w:firstLine="640" w:firstLineChars="200"/>
      </w:pPr>
      <w:r>
        <w:t>为实现老城市新活力，推动城市高质量发展，促进城市更新地区建立完备、便捷、高效、舒适的</w:t>
      </w:r>
      <w:r>
        <w:rPr>
          <w:rFonts w:hint="eastAsia" w:ascii="宋体" w:hAnsi="宋体" w:cs="宋体"/>
          <w:spacing w:val="-6"/>
          <w:kern w:val="0"/>
          <w:szCs w:val="32"/>
        </w:rPr>
        <w:t>公共服务设施</w:t>
      </w:r>
      <w:r>
        <w:t>配套体系，完善区域配套、补</w:t>
      </w:r>
      <w:r>
        <w:rPr>
          <w:rFonts w:hint="eastAsia"/>
        </w:rPr>
        <w:t>强</w:t>
      </w:r>
      <w:r>
        <w:t>设施短板、优化设施标准，</w:t>
      </w:r>
      <w:bookmarkStart w:id="3" w:name="_Hlk46684341"/>
      <w:bookmarkStart w:id="4" w:name="_Hlk46684250"/>
      <w:r>
        <w:rPr>
          <w:rFonts w:hint="eastAsia"/>
        </w:rPr>
        <w:t>参照</w:t>
      </w:r>
      <w:r>
        <w:t>教育、医疗、</w:t>
      </w:r>
      <w:r>
        <w:rPr>
          <w:rFonts w:hint="eastAsia"/>
        </w:rPr>
        <w:t>文化、</w:t>
      </w:r>
      <w:r>
        <w:t>体育、养老等</w:t>
      </w:r>
      <w:r>
        <w:rPr>
          <w:rFonts w:hint="eastAsia"/>
        </w:rPr>
        <w:t>专项规划，《广州市城市更新（城中村改造）公共服务设施综合布点规划》并结合用地情况</w:t>
      </w:r>
      <w:r>
        <w:t>高标准配置公共服务设施</w:t>
      </w:r>
      <w:bookmarkEnd w:id="3"/>
      <w:r>
        <w:t>，</w:t>
      </w:r>
      <w:bookmarkEnd w:id="4"/>
      <w:r>
        <w:rPr>
          <w:rFonts w:hint="eastAsia"/>
        </w:rPr>
        <w:t>不断</w:t>
      </w:r>
      <w:r>
        <w:t>完善交通、电力、通信、环卫、</w:t>
      </w:r>
      <w:r>
        <w:rPr>
          <w:rFonts w:hint="eastAsia"/>
        </w:rPr>
        <w:t>给排水</w:t>
      </w:r>
      <w:r>
        <w:t xml:space="preserve">等市政基础设施。  </w:t>
      </w:r>
    </w:p>
    <w:p>
      <w:pPr>
        <w:spacing w:line="560" w:lineRule="exact"/>
        <w:ind w:firstLine="640" w:firstLineChars="200"/>
        <w:rPr>
          <w:rFonts w:eastAsia="楷体_GB2312"/>
        </w:rPr>
      </w:pPr>
      <w:r>
        <w:rPr>
          <w:rFonts w:eastAsia="楷体_GB2312"/>
        </w:rPr>
        <w:t>（二）工作原则</w:t>
      </w:r>
      <w:r>
        <w:rPr>
          <w:rFonts w:hint="eastAsia" w:eastAsia="楷体_GB2312"/>
        </w:rPr>
        <w:t>。</w:t>
      </w:r>
    </w:p>
    <w:p>
      <w:pPr>
        <w:spacing w:line="560" w:lineRule="exact"/>
        <w:ind w:firstLine="640" w:firstLineChars="200"/>
      </w:pPr>
      <w:r>
        <w:t>城市更新单元设施配建标准在满足《广州市城乡规划技术规定》</w:t>
      </w:r>
      <w:r>
        <w:rPr>
          <w:rFonts w:hint="eastAsia"/>
        </w:rPr>
        <w:t>（下简称《技术规定》）</w:t>
      </w:r>
      <w:r>
        <w:t>与相关行业标准和规范的基础上，坚持以人民为中心的发展思想，紧密结合社会需求新变化，通过存量用地再开发，高效利用土地资源，借鉴国内其他城市相关技术标准与准则，增加便民利民的</w:t>
      </w:r>
      <w:r>
        <w:rPr>
          <w:rFonts w:hint="eastAsia" w:ascii="宋体" w:hAnsi="宋体" w:cs="宋体"/>
          <w:spacing w:val="-6"/>
          <w:kern w:val="0"/>
          <w:szCs w:val="32"/>
        </w:rPr>
        <w:t>公共服务设施</w:t>
      </w:r>
      <w:r>
        <w:t>，提高教育、医疗卫生、文化体育、养老、市政等部分设施配建标准，满足人民日益增长的高质量生活需要。</w:t>
      </w:r>
    </w:p>
    <w:p>
      <w:pPr>
        <w:spacing w:line="560" w:lineRule="exact"/>
        <w:ind w:firstLine="640" w:firstLineChars="200"/>
        <w:rPr>
          <w:rFonts w:eastAsia="楷体_GB2312"/>
        </w:rPr>
      </w:pPr>
      <w:r>
        <w:rPr>
          <w:rFonts w:eastAsia="楷体_GB2312"/>
        </w:rPr>
        <w:t>（三）适用范围</w:t>
      </w:r>
      <w:r>
        <w:rPr>
          <w:rFonts w:hint="eastAsia" w:eastAsia="楷体_GB2312"/>
        </w:rPr>
        <w:t>。</w:t>
      </w:r>
    </w:p>
    <w:p>
      <w:pPr>
        <w:spacing w:line="560" w:lineRule="exact"/>
        <w:ind w:firstLine="640" w:firstLineChars="200"/>
      </w:pPr>
      <w:r>
        <w:t>本指引适用于广州市行政区域范围内城市更新单元规划编制和管理工作。</w:t>
      </w:r>
    </w:p>
    <w:p>
      <w:pPr>
        <w:overflowPunct w:val="0"/>
        <w:spacing w:line="560" w:lineRule="exact"/>
        <w:ind w:firstLine="640" w:firstLineChars="200"/>
        <w:rPr>
          <w:rFonts w:eastAsia="黑体"/>
          <w:bCs/>
          <w:szCs w:val="32"/>
        </w:rPr>
      </w:pPr>
      <w:r>
        <w:rPr>
          <w:rFonts w:eastAsia="黑体"/>
          <w:bCs/>
          <w:szCs w:val="32"/>
        </w:rPr>
        <w:t>二、</w:t>
      </w:r>
      <w:r>
        <w:rPr>
          <w:rFonts w:hint="eastAsia" w:eastAsia="黑体"/>
          <w:bCs/>
          <w:szCs w:val="32"/>
        </w:rPr>
        <w:t>公共服务设施</w:t>
      </w:r>
      <w:r>
        <w:rPr>
          <w:rFonts w:eastAsia="黑体"/>
          <w:bCs/>
          <w:szCs w:val="32"/>
        </w:rPr>
        <w:t>的分类和分级</w:t>
      </w:r>
    </w:p>
    <w:p>
      <w:pPr>
        <w:spacing w:line="560" w:lineRule="exact"/>
        <w:ind w:firstLine="640" w:firstLineChars="200"/>
        <w:rPr>
          <w:rFonts w:eastAsia="楷体_GB2312"/>
        </w:rPr>
      </w:pPr>
      <w:r>
        <w:rPr>
          <w:rFonts w:eastAsia="楷体_GB2312"/>
        </w:rPr>
        <w:t>（一）</w:t>
      </w:r>
      <w:r>
        <w:rPr>
          <w:rFonts w:hint="eastAsia" w:eastAsia="楷体_GB2312"/>
        </w:rPr>
        <w:t>公共服务设施</w:t>
      </w:r>
      <w:r>
        <w:rPr>
          <w:rFonts w:eastAsia="楷体_GB2312"/>
        </w:rPr>
        <w:t>的分类</w:t>
      </w:r>
      <w:r>
        <w:rPr>
          <w:rFonts w:hint="eastAsia" w:eastAsia="楷体_GB2312"/>
        </w:rPr>
        <w:t>。</w:t>
      </w:r>
    </w:p>
    <w:p>
      <w:pPr>
        <w:spacing w:line="560" w:lineRule="exact"/>
        <w:ind w:firstLine="640" w:firstLineChars="200"/>
      </w:pPr>
      <w:r>
        <w:t>1.面向居住片区人群的</w:t>
      </w:r>
      <w:r>
        <w:rPr>
          <w:rFonts w:hint="eastAsia"/>
        </w:rPr>
        <w:t>公共服务设施</w:t>
      </w:r>
      <w:r>
        <w:t>，包括：</w:t>
      </w:r>
    </w:p>
    <w:p>
      <w:pPr>
        <w:spacing w:line="560" w:lineRule="exact"/>
        <w:ind w:firstLine="640" w:firstLineChars="200"/>
      </w:pPr>
      <w:r>
        <w:t>（1）教育设施</w:t>
      </w:r>
      <w:r>
        <w:rPr>
          <w:rFonts w:hint="eastAsia"/>
        </w:rPr>
        <w:t>。</w:t>
      </w:r>
    </w:p>
    <w:p>
      <w:pPr>
        <w:spacing w:line="560" w:lineRule="exact"/>
        <w:ind w:firstLine="640" w:firstLineChars="200"/>
      </w:pPr>
      <w:r>
        <w:t>（2）行政管理与社区服务设施</w:t>
      </w:r>
      <w:r>
        <w:rPr>
          <w:rFonts w:hint="eastAsia"/>
        </w:rPr>
        <w:t>。</w:t>
      </w:r>
    </w:p>
    <w:p>
      <w:pPr>
        <w:spacing w:line="560" w:lineRule="exact"/>
        <w:ind w:firstLine="640" w:firstLineChars="200"/>
      </w:pPr>
      <w:r>
        <w:t>（3）医疗卫生设施</w:t>
      </w:r>
      <w:r>
        <w:rPr>
          <w:rFonts w:hint="eastAsia"/>
        </w:rPr>
        <w:t>。</w:t>
      </w:r>
    </w:p>
    <w:p>
      <w:pPr>
        <w:spacing w:line="560" w:lineRule="exact"/>
        <w:ind w:firstLine="640" w:firstLineChars="200"/>
      </w:pPr>
      <w:r>
        <w:t>（4）文化体育设施</w:t>
      </w:r>
      <w:r>
        <w:rPr>
          <w:rFonts w:hint="eastAsia"/>
        </w:rPr>
        <w:t>。</w:t>
      </w:r>
    </w:p>
    <w:p>
      <w:pPr>
        <w:spacing w:line="560" w:lineRule="exact"/>
        <w:ind w:firstLine="640" w:firstLineChars="200"/>
      </w:pPr>
      <w:r>
        <w:t>（5）公园设施</w:t>
      </w:r>
      <w:r>
        <w:rPr>
          <w:rFonts w:hint="eastAsia"/>
        </w:rPr>
        <w:t>。</w:t>
      </w:r>
    </w:p>
    <w:p>
      <w:pPr>
        <w:spacing w:line="560" w:lineRule="exact"/>
        <w:ind w:firstLine="640" w:firstLineChars="200"/>
      </w:pPr>
      <w:r>
        <w:t>（6）福利设施</w:t>
      </w:r>
      <w:r>
        <w:rPr>
          <w:rFonts w:hint="eastAsia"/>
        </w:rPr>
        <w:t>。</w:t>
      </w:r>
    </w:p>
    <w:p>
      <w:pPr>
        <w:spacing w:line="560" w:lineRule="exact"/>
        <w:ind w:firstLine="640" w:firstLineChars="200"/>
      </w:pPr>
      <w:r>
        <w:t>（7）市政公用设施</w:t>
      </w:r>
      <w:r>
        <w:rPr>
          <w:rFonts w:hint="eastAsia"/>
        </w:rPr>
        <w:t>。</w:t>
      </w:r>
    </w:p>
    <w:p>
      <w:pPr>
        <w:spacing w:line="560" w:lineRule="exact"/>
        <w:ind w:firstLine="640" w:firstLineChars="200"/>
      </w:pPr>
      <w:r>
        <w:t>（8）商业服务设施</w:t>
      </w:r>
      <w:r>
        <w:rPr>
          <w:rFonts w:hint="eastAsia"/>
        </w:rPr>
        <w:t>。</w:t>
      </w:r>
    </w:p>
    <w:p>
      <w:pPr>
        <w:spacing w:line="560" w:lineRule="exact"/>
        <w:ind w:firstLine="640" w:firstLineChars="200"/>
      </w:pPr>
      <w:r>
        <w:t>（9）</w:t>
      </w:r>
      <w:r>
        <w:rPr>
          <w:rFonts w:hint="eastAsia"/>
        </w:rPr>
        <w:t>数字和通信基础</w:t>
      </w:r>
      <w:r>
        <w:t>设施</w:t>
      </w:r>
      <w:r>
        <w:rPr>
          <w:rFonts w:hint="eastAsia"/>
        </w:rPr>
        <w:t>。</w:t>
      </w:r>
    </w:p>
    <w:p>
      <w:pPr>
        <w:spacing w:line="560" w:lineRule="exact"/>
        <w:ind w:firstLine="640" w:firstLineChars="200"/>
      </w:pPr>
      <w:r>
        <w:t>2.面向产业（</w:t>
      </w:r>
      <w:r>
        <w:rPr>
          <w:rFonts w:hint="eastAsia"/>
        </w:rPr>
        <w:t>商业商务服务业</w:t>
      </w:r>
      <w:r>
        <w:t>）片区的</w:t>
      </w:r>
      <w:r>
        <w:rPr>
          <w:rFonts w:hint="eastAsia"/>
        </w:rPr>
        <w:t>公共服务设施</w:t>
      </w:r>
      <w:r>
        <w:t>，包括：</w:t>
      </w:r>
    </w:p>
    <w:p>
      <w:pPr>
        <w:spacing w:line="560" w:lineRule="exact"/>
        <w:ind w:firstLine="640" w:firstLineChars="200"/>
      </w:pPr>
      <w:r>
        <w:t>（1）洽谈交往型设施</w:t>
      </w:r>
      <w:r>
        <w:rPr>
          <w:rFonts w:hint="eastAsia"/>
        </w:rPr>
        <w:t>。</w:t>
      </w:r>
    </w:p>
    <w:p>
      <w:pPr>
        <w:spacing w:line="560" w:lineRule="exact"/>
        <w:ind w:firstLine="640" w:firstLineChars="200"/>
      </w:pPr>
      <w:r>
        <w:t>（2）便民生活型设施</w:t>
      </w:r>
      <w:r>
        <w:rPr>
          <w:rFonts w:hint="eastAsia"/>
        </w:rPr>
        <w:t>。</w:t>
      </w:r>
    </w:p>
    <w:p>
      <w:pPr>
        <w:spacing w:line="560" w:lineRule="exact"/>
        <w:ind w:firstLine="640" w:firstLineChars="200"/>
      </w:pPr>
      <w:r>
        <w:t>（3）休闲娱乐型设施</w:t>
      </w:r>
      <w:r>
        <w:rPr>
          <w:rFonts w:hint="eastAsia"/>
        </w:rPr>
        <w:t>。</w:t>
      </w:r>
    </w:p>
    <w:p>
      <w:pPr>
        <w:spacing w:line="560" w:lineRule="exact"/>
        <w:ind w:firstLine="640" w:firstLineChars="200"/>
      </w:pPr>
      <w:r>
        <w:t>（4）商务服务型设施</w:t>
      </w:r>
      <w:r>
        <w:rPr>
          <w:rFonts w:hint="eastAsia"/>
        </w:rPr>
        <w:t>。</w:t>
      </w:r>
    </w:p>
    <w:p>
      <w:pPr>
        <w:spacing w:line="560" w:lineRule="exact"/>
        <w:ind w:firstLine="640" w:firstLineChars="200"/>
      </w:pPr>
      <w:r>
        <w:t>（5）市政公用型设施</w:t>
      </w:r>
      <w:r>
        <w:rPr>
          <w:rFonts w:hint="eastAsia"/>
        </w:rPr>
        <w:t>。</w:t>
      </w:r>
    </w:p>
    <w:p>
      <w:pPr>
        <w:spacing w:line="560" w:lineRule="exact"/>
        <w:ind w:firstLine="640" w:firstLineChars="200"/>
        <w:rPr>
          <w:rFonts w:eastAsia="楷体_GB2312"/>
        </w:rPr>
      </w:pPr>
      <w:r>
        <w:rPr>
          <w:rFonts w:eastAsia="楷体_GB2312"/>
        </w:rPr>
        <w:t>（二）</w:t>
      </w:r>
      <w:r>
        <w:rPr>
          <w:rFonts w:hint="eastAsia" w:eastAsia="楷体_GB2312"/>
        </w:rPr>
        <w:t>公共服务设施</w:t>
      </w:r>
      <w:r>
        <w:rPr>
          <w:rFonts w:eastAsia="楷体_GB2312"/>
        </w:rPr>
        <w:t>的分级</w:t>
      </w:r>
      <w:r>
        <w:rPr>
          <w:rFonts w:hint="eastAsia" w:eastAsia="楷体_GB2312"/>
        </w:rPr>
        <w:t>。</w:t>
      </w:r>
    </w:p>
    <w:p>
      <w:pPr>
        <w:spacing w:line="560" w:lineRule="exact"/>
        <w:ind w:firstLine="640" w:firstLineChars="200"/>
      </w:pPr>
      <w:r>
        <w:t>1.面向居住片区人群的</w:t>
      </w:r>
      <w:r>
        <w:rPr>
          <w:rFonts w:hint="eastAsia"/>
        </w:rPr>
        <w:t>公共服务设施</w:t>
      </w:r>
      <w:r>
        <w:t>按市区统筹级、街道级（15分钟生活圈）、居委级（5分钟生活圈）三级配置。</w:t>
      </w:r>
    </w:p>
    <w:p>
      <w:pPr>
        <w:spacing w:line="560" w:lineRule="exact"/>
        <w:ind w:firstLine="640" w:firstLineChars="200"/>
      </w:pPr>
      <w:r>
        <w:t>（1）市区统筹级</w:t>
      </w:r>
      <w:r>
        <w:rPr>
          <w:rFonts w:hint="eastAsia" w:ascii="宋体" w:hAnsi="宋体" w:cs="宋体"/>
          <w:spacing w:val="-6"/>
          <w:kern w:val="0"/>
          <w:szCs w:val="32"/>
        </w:rPr>
        <w:t>公共服务设施</w:t>
      </w:r>
      <w:r>
        <w:t>指需在全市及各区层面统筹的</w:t>
      </w:r>
      <w:r>
        <w:rPr>
          <w:rFonts w:hint="eastAsia"/>
        </w:rPr>
        <w:t>公共服务设施</w:t>
      </w:r>
      <w:r>
        <w:t>。</w:t>
      </w:r>
    </w:p>
    <w:p>
      <w:pPr>
        <w:spacing w:line="560" w:lineRule="exact"/>
        <w:ind w:firstLine="640" w:firstLineChars="200"/>
      </w:pPr>
      <w:r>
        <w:t>（2）街道级</w:t>
      </w:r>
      <w:r>
        <w:rPr>
          <w:rFonts w:hint="eastAsia"/>
        </w:rPr>
        <w:t>公共服务设施</w:t>
      </w:r>
      <w:r>
        <w:t>服务规模约1-10万人。</w:t>
      </w:r>
    </w:p>
    <w:p>
      <w:pPr>
        <w:spacing w:line="560" w:lineRule="exact"/>
        <w:ind w:firstLine="640" w:firstLineChars="200"/>
      </w:pPr>
      <w:r>
        <w:t>（3）居委级</w:t>
      </w:r>
      <w:r>
        <w:rPr>
          <w:rFonts w:hint="eastAsia"/>
        </w:rPr>
        <w:t>公共服务设施</w:t>
      </w:r>
      <w:r>
        <w:t>服务规模约0.3-1.5万人。</w:t>
      </w:r>
    </w:p>
    <w:p>
      <w:pPr>
        <w:spacing w:line="560" w:lineRule="exact"/>
        <w:ind w:firstLine="640" w:firstLineChars="200"/>
      </w:pPr>
      <w:r>
        <w:t>2.同一级别</w:t>
      </w:r>
      <w:r>
        <w:rPr>
          <w:rFonts w:hint="eastAsia"/>
        </w:rPr>
        <w:t>公共服务设施</w:t>
      </w:r>
      <w:r>
        <w:t>的布局应采用集中与分散相结合的方式。节约集约用地，引入立体城市设计理念，鼓励同一级别、功能和服务方式类似的</w:t>
      </w:r>
      <w:r>
        <w:rPr>
          <w:rFonts w:hint="eastAsia"/>
        </w:rPr>
        <w:t>公共服务设施</w:t>
      </w:r>
      <w:r>
        <w:t>集中组合布置，如文化体育设施、行政管理与社区服务设施、福利设施等。功能相对独立或有特殊布局要求的</w:t>
      </w:r>
      <w:r>
        <w:rPr>
          <w:rFonts w:hint="eastAsia"/>
        </w:rPr>
        <w:t>公共服务设施</w:t>
      </w:r>
      <w:r>
        <w:t>可相邻设置或独立设置，如教育设施、医疗卫生设施等。</w:t>
      </w:r>
    </w:p>
    <w:p>
      <w:pPr>
        <w:overflowPunct w:val="0"/>
        <w:spacing w:line="560" w:lineRule="exact"/>
        <w:ind w:firstLine="640" w:firstLineChars="200"/>
        <w:rPr>
          <w:rFonts w:eastAsia="黑体"/>
          <w:bCs/>
          <w:szCs w:val="32"/>
        </w:rPr>
      </w:pPr>
      <w:r>
        <w:rPr>
          <w:rFonts w:eastAsia="黑体"/>
          <w:bCs/>
          <w:szCs w:val="32"/>
        </w:rPr>
        <w:t>三、</w:t>
      </w:r>
      <w:r>
        <w:rPr>
          <w:rFonts w:hint="eastAsia" w:eastAsia="黑体"/>
          <w:bCs/>
          <w:szCs w:val="32"/>
        </w:rPr>
        <w:t>公共服务设施</w:t>
      </w:r>
      <w:r>
        <w:rPr>
          <w:rFonts w:eastAsia="黑体"/>
          <w:bCs/>
          <w:szCs w:val="32"/>
        </w:rPr>
        <w:t>配建要求</w:t>
      </w:r>
    </w:p>
    <w:p>
      <w:pPr>
        <w:spacing w:line="560" w:lineRule="exact"/>
        <w:ind w:firstLine="640" w:firstLineChars="200"/>
      </w:pPr>
      <w:r>
        <w:t>在</w:t>
      </w:r>
      <w:r>
        <w:rPr>
          <w:rFonts w:hint="eastAsia"/>
        </w:rPr>
        <w:t>《技术规定》</w:t>
      </w:r>
      <w:r>
        <w:t>的基础上，新增部分</w:t>
      </w:r>
      <w:r>
        <w:rPr>
          <w:rFonts w:hint="eastAsia"/>
        </w:rPr>
        <w:t>公共服务设施</w:t>
      </w:r>
      <w:r>
        <w:t>的配建要求，提高部分</w:t>
      </w:r>
      <w:r>
        <w:rPr>
          <w:rFonts w:hint="eastAsia"/>
        </w:rPr>
        <w:t>公共服务设施</w:t>
      </w:r>
      <w:r>
        <w:t>的配建标准，本指引中未涉及的</w:t>
      </w:r>
      <w:r>
        <w:rPr>
          <w:rFonts w:hint="eastAsia"/>
        </w:rPr>
        <w:t>公共服务设施</w:t>
      </w:r>
      <w:r>
        <w:t>仍遵照</w:t>
      </w:r>
      <w:r>
        <w:rPr>
          <w:rFonts w:hint="eastAsia"/>
        </w:rPr>
        <w:t>《技术规定》及</w:t>
      </w:r>
      <w:r>
        <w:t>相关行业标准和规范配建。</w:t>
      </w:r>
    </w:p>
    <w:p>
      <w:pPr>
        <w:spacing w:line="560" w:lineRule="exact"/>
        <w:ind w:firstLine="640" w:firstLineChars="200"/>
        <w:rPr>
          <w:b/>
          <w:bCs/>
        </w:rPr>
      </w:pPr>
      <w:r>
        <w:t>原则上居住片区的</w:t>
      </w:r>
      <w:r>
        <w:rPr>
          <w:rFonts w:hint="eastAsia"/>
        </w:rPr>
        <w:t>公共服务设施建筑面积</w:t>
      </w:r>
      <w:r>
        <w:t>配建比例下限为11%；产业（</w:t>
      </w:r>
      <w:r>
        <w:rPr>
          <w:rFonts w:hint="eastAsia"/>
        </w:rPr>
        <w:t>商业商务服务业</w:t>
      </w:r>
      <w:r>
        <w:t>）片区</w:t>
      </w:r>
      <w:r>
        <w:rPr>
          <w:rFonts w:hint="eastAsia"/>
        </w:rPr>
        <w:t>的公共服务设施建筑面积</w:t>
      </w:r>
      <w:r>
        <w:t>配建比例下限为6%-11%，具体可结合项目实际确定。</w:t>
      </w:r>
    </w:p>
    <w:p>
      <w:pPr>
        <w:spacing w:line="560" w:lineRule="exact"/>
        <w:ind w:firstLine="640" w:firstLineChars="200"/>
        <w:rPr>
          <w:rFonts w:eastAsia="楷体_GB2312"/>
        </w:rPr>
      </w:pPr>
      <w:r>
        <w:rPr>
          <w:rFonts w:eastAsia="楷体_GB2312"/>
        </w:rPr>
        <w:t>（一）新增的</w:t>
      </w:r>
      <w:r>
        <w:rPr>
          <w:rFonts w:hint="eastAsia" w:eastAsia="楷体_GB2312"/>
        </w:rPr>
        <w:t>公共服务设施。</w:t>
      </w:r>
    </w:p>
    <w:p>
      <w:pPr>
        <w:spacing w:line="560" w:lineRule="exact"/>
        <w:ind w:firstLine="640" w:firstLineChars="200"/>
      </w:pPr>
      <w:r>
        <w:t>1.市区统筹级</w:t>
      </w:r>
      <w:r>
        <w:rPr>
          <w:rFonts w:hint="eastAsia"/>
        </w:rPr>
        <w:t>公共服务设施。</w:t>
      </w:r>
    </w:p>
    <w:p>
      <w:pPr>
        <w:spacing w:line="560" w:lineRule="exact"/>
        <w:ind w:firstLine="640" w:firstLineChars="200"/>
      </w:pPr>
      <w:r>
        <w:t>（1）教育设施：综合性特殊教育</w:t>
      </w:r>
      <w:r>
        <w:rPr>
          <w:rFonts w:hint="eastAsia"/>
        </w:rPr>
        <w:t>设施</w:t>
      </w:r>
      <w:r>
        <w:t>、职业教育设施、高等教育设施。</w:t>
      </w:r>
    </w:p>
    <w:p>
      <w:pPr>
        <w:spacing w:line="560" w:lineRule="exact"/>
        <w:ind w:firstLine="640" w:firstLineChars="200"/>
      </w:pPr>
      <w:r>
        <w:t>（2）行政管理与社区服务设施：公共法律服务中心。</w:t>
      </w:r>
    </w:p>
    <w:p>
      <w:pPr>
        <w:spacing w:line="560" w:lineRule="exact"/>
        <w:ind w:firstLine="640" w:firstLineChars="200"/>
      </w:pPr>
      <w:r>
        <w:t>（3）医疗卫生设施：中医医院、专科医院、疾病预防控制</w:t>
      </w:r>
      <w:r>
        <w:rPr>
          <w:rFonts w:hint="eastAsia"/>
        </w:rPr>
        <w:t>中心</w:t>
      </w:r>
      <w:r>
        <w:t>、卫生监督机构、妇幼健康服务机构、公共卫生临床中心等。</w:t>
      </w:r>
    </w:p>
    <w:p>
      <w:pPr>
        <w:spacing w:line="560" w:lineRule="exact"/>
        <w:ind w:firstLine="640" w:firstLineChars="200"/>
      </w:pPr>
      <w:r>
        <w:t>（4）文化体育设施：市级博物馆、图书馆、文化馆、体育馆、体育场、游泳馆、大型全民健身活动中心，区级博物馆、图书馆、文化馆、体育中心、体育馆、体育场、游泳馆、中型全民健身活动中心。</w:t>
      </w:r>
    </w:p>
    <w:p>
      <w:pPr>
        <w:spacing w:line="560" w:lineRule="exact"/>
        <w:ind w:firstLine="640" w:firstLineChars="200"/>
      </w:pPr>
      <w:r>
        <w:t>（5）市政公用设施：</w:t>
      </w:r>
      <w:r>
        <w:rPr>
          <w:rFonts w:hint="eastAsia"/>
        </w:rPr>
        <w:t>可回收物</w:t>
      </w:r>
      <w:r>
        <w:t>分拣中心。</w:t>
      </w:r>
    </w:p>
    <w:p>
      <w:pPr>
        <w:spacing w:line="560" w:lineRule="exact"/>
        <w:ind w:firstLine="640" w:firstLineChars="200"/>
      </w:pPr>
      <w:r>
        <w:t>2.街道级</w:t>
      </w:r>
      <w:r>
        <w:rPr>
          <w:rFonts w:hint="eastAsia"/>
        </w:rPr>
        <w:t>公共服务设施。</w:t>
      </w:r>
    </w:p>
    <w:p>
      <w:pPr>
        <w:spacing w:line="560" w:lineRule="exact"/>
        <w:ind w:firstLine="640" w:firstLineChars="200"/>
      </w:pPr>
      <w:r>
        <w:t>（1）行政管理与社区服务设施：党群服务设施、司法所（公共法律服务工作站）。</w:t>
      </w:r>
    </w:p>
    <w:p>
      <w:pPr>
        <w:spacing w:line="560" w:lineRule="exact"/>
        <w:ind w:firstLine="640" w:firstLineChars="200"/>
      </w:pPr>
      <w:r>
        <w:t>（2）文化体育设施：陈列展览馆、图书馆分馆</w:t>
      </w:r>
      <w:r>
        <w:rPr>
          <w:rFonts w:hint="eastAsia"/>
        </w:rPr>
        <w:t>、综合文化站、文体广场、文体活动中心</w:t>
      </w:r>
      <w:r>
        <w:t>。</w:t>
      </w:r>
    </w:p>
    <w:p>
      <w:pPr>
        <w:spacing w:line="560" w:lineRule="exact"/>
        <w:ind w:firstLine="640" w:firstLineChars="200"/>
      </w:pPr>
      <w:r>
        <w:t>（3）市政公用设施：</w:t>
      </w:r>
      <w:r>
        <w:rPr>
          <w:rFonts w:hint="eastAsia"/>
        </w:rPr>
        <w:t>可回收物中转站、</w:t>
      </w:r>
      <w:r>
        <w:t>环境卫生车辆停车场</w:t>
      </w:r>
      <w:r>
        <w:rPr>
          <w:rFonts w:hint="eastAsia"/>
        </w:rPr>
        <w:t>。</w:t>
      </w:r>
    </w:p>
    <w:p>
      <w:pPr>
        <w:spacing w:line="560" w:lineRule="exact"/>
        <w:ind w:firstLine="640" w:firstLineChars="200"/>
      </w:pPr>
      <w:r>
        <w:t>（4）商业服务设施：物流配送站。</w:t>
      </w:r>
    </w:p>
    <w:p>
      <w:pPr>
        <w:spacing w:line="560" w:lineRule="exact"/>
        <w:ind w:firstLine="640" w:firstLineChars="200"/>
      </w:pPr>
      <w:r>
        <w:t>（5）</w:t>
      </w:r>
      <w:bookmarkStart w:id="5" w:name="_Hlk46684362"/>
      <w:r>
        <w:rPr>
          <w:rFonts w:hint="eastAsia"/>
        </w:rPr>
        <w:t>数字基础设施：边缘数据中心。按照《互联网数据中心技术及分级分类标准》（Y</w:t>
      </w:r>
      <w:r>
        <w:t>D/T2441</w:t>
      </w:r>
      <w:r>
        <w:rPr>
          <w:rFonts w:hint="eastAsia"/>
        </w:rPr>
        <w:t>）及国家对互联网数据中心的相关标准等规范配置。</w:t>
      </w:r>
    </w:p>
    <w:bookmarkEnd w:id="5"/>
    <w:p>
      <w:pPr>
        <w:spacing w:line="560" w:lineRule="exact"/>
        <w:ind w:firstLine="640" w:firstLineChars="200"/>
      </w:pPr>
      <w:r>
        <w:rPr>
          <w:rFonts w:hint="eastAsia"/>
        </w:rPr>
        <w:t>（6）</w:t>
      </w:r>
      <w:r>
        <w:t>优先设置独立占地的社区中心，将部分行政管理设施、</w:t>
      </w:r>
      <w:r>
        <w:rPr>
          <w:rFonts w:hint="eastAsia"/>
        </w:rPr>
        <w:t>福利</w:t>
      </w:r>
      <w:r>
        <w:t>设施、公共文化设施、体育健身设施、公共空间、便民商业设施、</w:t>
      </w:r>
      <w:r>
        <w:rPr>
          <w:rFonts w:hint="eastAsia"/>
        </w:rPr>
        <w:t>福利</w:t>
      </w:r>
      <w:r>
        <w:t xml:space="preserve">设施等合建，实现土地集约节约利用，满足居民生活服务的综合需求。  </w:t>
      </w:r>
    </w:p>
    <w:p>
      <w:pPr>
        <w:spacing w:line="560" w:lineRule="exact"/>
        <w:ind w:firstLine="640" w:firstLineChars="200"/>
      </w:pPr>
      <w:r>
        <w:t>3.居委级</w:t>
      </w:r>
      <w:r>
        <w:rPr>
          <w:rFonts w:hint="eastAsia"/>
        </w:rPr>
        <w:t>公共服务设施。</w:t>
      </w:r>
    </w:p>
    <w:p>
      <w:pPr>
        <w:spacing w:line="560" w:lineRule="exact"/>
        <w:ind w:firstLine="640" w:firstLineChars="200"/>
      </w:pPr>
      <w:r>
        <w:t>（1）行政管理与社区服务设施：社区管理中心、社区服务中心。</w:t>
      </w:r>
    </w:p>
    <w:p>
      <w:pPr>
        <w:spacing w:line="560" w:lineRule="exact"/>
        <w:ind w:firstLine="640" w:firstLineChars="200"/>
      </w:pPr>
      <w:r>
        <w:t>（2）医疗卫生设施：护理站。</w:t>
      </w:r>
    </w:p>
    <w:p>
      <w:pPr>
        <w:spacing w:line="560" w:lineRule="exact"/>
        <w:ind w:firstLine="640" w:firstLineChars="200"/>
      </w:pPr>
      <w:r>
        <w:t>（3）福利设施：</w:t>
      </w:r>
      <w:r>
        <w:rPr>
          <w:rFonts w:hint="eastAsia"/>
        </w:rPr>
        <w:t>嵌入式社区养老服务机构</w:t>
      </w:r>
      <w:r>
        <w:t>。</w:t>
      </w:r>
    </w:p>
    <w:p>
      <w:pPr>
        <w:spacing w:line="560" w:lineRule="exact"/>
        <w:ind w:firstLine="640" w:firstLineChars="200"/>
      </w:pPr>
      <w:r>
        <w:t>（4）市政公用设施：</w:t>
      </w:r>
      <w:r>
        <w:rPr>
          <w:rFonts w:hint="eastAsia"/>
        </w:rPr>
        <w:t>可回收物</w:t>
      </w:r>
      <w:r>
        <w:t>便民</w:t>
      </w:r>
      <w:r>
        <w:rPr>
          <w:rFonts w:hint="eastAsia"/>
        </w:rPr>
        <w:t>回收</w:t>
      </w:r>
      <w:r>
        <w:t>点</w:t>
      </w:r>
      <w:r>
        <w:rPr>
          <w:rFonts w:hint="eastAsia"/>
        </w:rPr>
        <w:t>；根据《生活垃圾邻类设施配置及作业规范》（DB4401/T 144-2022）《市容环境卫生工程项目规范》(GB55013-2021）《广州市环卫工具房、环卫驿站设置指引》，规范配置生活垃圾分类投放设施、大件垃圾投放场所、环卫工具房。</w:t>
      </w:r>
    </w:p>
    <w:p>
      <w:pPr>
        <w:spacing w:line="560" w:lineRule="exact"/>
        <w:ind w:firstLine="640" w:firstLineChars="200"/>
      </w:pPr>
      <w:r>
        <w:t>（5）商业服务设施：快递送达设施。</w:t>
      </w:r>
    </w:p>
    <w:p>
      <w:pPr>
        <w:spacing w:line="560" w:lineRule="exact"/>
        <w:ind w:firstLine="640" w:firstLineChars="200"/>
      </w:pPr>
      <w:r>
        <w:rPr>
          <w:rFonts w:hint="eastAsia"/>
        </w:rPr>
        <w:t>（6）</w:t>
      </w:r>
      <w:r>
        <w:t>通信基础设施：</w:t>
      </w:r>
      <w:r>
        <w:rPr>
          <w:kern w:val="0"/>
        </w:rPr>
        <w:t>移动通信基础设施、有线宽带基础设施</w:t>
      </w:r>
      <w:r>
        <w:t>。按照《城市通信工程规划规范》（GB/T50853-2013）《住宅区和住宅建筑内光纤到户通信设施工程设计规范》（GB 50846-2012）《通信建筑工程设计规范》（YD5003-2014）</w:t>
      </w:r>
      <w:r>
        <w:rPr>
          <w:kern w:val="0"/>
        </w:rPr>
        <w:t>《广东省建筑物移动通信基础设施技术规范》（DBJ/T 15-190-2020）</w:t>
      </w:r>
      <w:r>
        <w:rPr>
          <w:rFonts w:hint="eastAsia"/>
          <w:kern w:val="0"/>
        </w:rPr>
        <w:t>《综合布线系统工程设计规范》（</w:t>
      </w:r>
      <w:r>
        <w:rPr>
          <w:kern w:val="0"/>
        </w:rPr>
        <w:t>GB 50311-2016</w:t>
      </w:r>
      <w:r>
        <w:rPr>
          <w:rFonts w:hint="eastAsia"/>
          <w:kern w:val="0"/>
        </w:rPr>
        <w:t>）</w:t>
      </w:r>
      <w:r>
        <w:t xml:space="preserve">等规范配置。 </w:t>
      </w:r>
    </w:p>
    <w:p>
      <w:pPr>
        <w:spacing w:line="560" w:lineRule="exact"/>
        <w:ind w:firstLine="640" w:firstLineChars="200"/>
      </w:pPr>
      <w:r>
        <w:t>4.产业（</w:t>
      </w:r>
      <w:r>
        <w:rPr>
          <w:rFonts w:hint="eastAsia"/>
        </w:rPr>
        <w:t>商业商务服务业</w:t>
      </w:r>
      <w:r>
        <w:t>）片区的</w:t>
      </w:r>
      <w:r>
        <w:rPr>
          <w:rFonts w:hint="eastAsia" w:ascii="宋体" w:hAnsi="宋体" w:cs="宋体"/>
          <w:spacing w:val="-6"/>
          <w:kern w:val="0"/>
          <w:szCs w:val="32"/>
        </w:rPr>
        <w:t>公共服务设施。</w:t>
      </w:r>
    </w:p>
    <w:p>
      <w:pPr>
        <w:spacing w:line="560" w:lineRule="exact"/>
        <w:ind w:firstLine="640" w:firstLineChars="200"/>
      </w:pPr>
      <w:r>
        <w:t>（1）洽谈交往型设施：演讲厅、展示厅、共享会客厅、咖啡厅、茶室、创客空间等。</w:t>
      </w:r>
    </w:p>
    <w:p>
      <w:pPr>
        <w:spacing w:line="560" w:lineRule="exact"/>
        <w:ind w:firstLine="640" w:firstLineChars="200"/>
      </w:pPr>
      <w:r>
        <w:t>（2）便民生活型设施：日托中心、理疗中心、餐饮、便利店、超市、亲子乐园、母婴室、中西药店、物流配送站、快递送达设施、洗衣店等。</w:t>
      </w:r>
    </w:p>
    <w:p>
      <w:pPr>
        <w:spacing w:line="560" w:lineRule="exact"/>
        <w:ind w:firstLine="640" w:firstLineChars="200"/>
      </w:pPr>
      <w:r>
        <w:t>（3）休闲娱乐型设施：电影院、剧院、画廊、酒吧、健身中心、美容美发、书店、艺术课堂等。</w:t>
      </w:r>
    </w:p>
    <w:p>
      <w:pPr>
        <w:spacing w:line="560" w:lineRule="exact"/>
        <w:ind w:firstLine="640" w:firstLineChars="200"/>
      </w:pPr>
      <w:r>
        <w:t>（4）商务服务型设施：电信营业场所、银行营业网点等。</w:t>
      </w:r>
    </w:p>
    <w:p>
      <w:pPr>
        <w:spacing w:line="560" w:lineRule="exact"/>
        <w:ind w:firstLine="640" w:firstLineChars="200"/>
      </w:pPr>
      <w:r>
        <w:t>（5）市政公用型设施：供电、环卫、消防、公共厕所、社会停车场、公交站场等。</w:t>
      </w:r>
    </w:p>
    <w:p>
      <w:pPr>
        <w:spacing w:line="560" w:lineRule="exact"/>
        <w:ind w:firstLine="640" w:firstLineChars="200"/>
        <w:rPr>
          <w:rFonts w:eastAsia="楷体_GB2312"/>
        </w:rPr>
      </w:pPr>
      <w:r>
        <w:rPr>
          <w:rFonts w:eastAsia="楷体_GB2312"/>
        </w:rPr>
        <w:t>（二）提高配建标准的</w:t>
      </w:r>
      <w:r>
        <w:rPr>
          <w:rFonts w:hint="eastAsia" w:eastAsia="楷体_GB2312"/>
        </w:rPr>
        <w:t>公共服务设施。</w:t>
      </w:r>
    </w:p>
    <w:p>
      <w:pPr>
        <w:spacing w:line="560" w:lineRule="exact"/>
        <w:ind w:firstLine="640" w:firstLineChars="200"/>
      </w:pPr>
      <w:r>
        <w:t>1.市区统筹级</w:t>
      </w:r>
      <w:r>
        <w:rPr>
          <w:rFonts w:hint="eastAsia" w:ascii="宋体" w:hAnsi="宋体" w:cs="宋体"/>
          <w:spacing w:val="-6"/>
          <w:kern w:val="0"/>
          <w:szCs w:val="32"/>
        </w:rPr>
        <w:t>公共服务设施。</w:t>
      </w:r>
    </w:p>
    <w:p>
      <w:pPr>
        <w:spacing w:line="560" w:lineRule="exact"/>
        <w:ind w:firstLine="640" w:firstLineChars="200"/>
      </w:pPr>
      <w:r>
        <w:rPr>
          <w:rFonts w:hint="eastAsia"/>
        </w:rPr>
        <w:t>（1）医疗卫生设施。提高综合医院配置标准。新建200床以上、500床以下医疗机构（或二级综合医院）用地面积原则上不低于3公顷。新建500床以上医疗机构（或三级综合医院）用地面积原则上不低于7公顷；经论证确实存在实施困难的，用地面积原则上不低于</w:t>
      </w:r>
      <w:r>
        <w:t>6.5</w:t>
      </w:r>
      <w:r>
        <w:rPr>
          <w:rFonts w:hint="eastAsia"/>
        </w:rPr>
        <w:t>公顷。</w:t>
      </w:r>
    </w:p>
    <w:p>
      <w:pPr>
        <w:spacing w:line="560" w:lineRule="exact"/>
        <w:ind w:firstLine="640" w:firstLineChars="200"/>
      </w:pPr>
      <w:r>
        <w:t>（2）垃圾压缩站从街道级改为市区统筹级，增加细分类型。</w:t>
      </w:r>
    </w:p>
    <w:p>
      <w:pPr>
        <w:spacing w:line="560" w:lineRule="exact"/>
        <w:ind w:firstLine="640" w:firstLineChars="200"/>
      </w:pPr>
      <w:r>
        <w:t>2.街道级</w:t>
      </w:r>
      <w:r>
        <w:rPr>
          <w:rFonts w:hint="eastAsia"/>
        </w:rPr>
        <w:t>公共服务设施。</w:t>
      </w:r>
    </w:p>
    <w:p>
      <w:pPr>
        <w:spacing w:line="560" w:lineRule="exact"/>
        <w:ind w:firstLine="640" w:firstLineChars="200"/>
        <w:rPr>
          <w:szCs w:val="32"/>
        </w:rPr>
      </w:pPr>
      <w:r>
        <w:rPr>
          <w:rFonts w:hint="eastAsia"/>
        </w:rPr>
        <w:t>（1）</w:t>
      </w:r>
      <w:r>
        <w:rPr>
          <w:rFonts w:hint="eastAsia"/>
          <w:szCs w:val="32"/>
        </w:rPr>
        <w:t>教育设施。规划人口达到 10万人的，原则上应设1处优质中学，以高中为主。新建优质中学用地面积原则上不低于10公项，不超过72班；经论证确实存在实施困难的，用地面积原则上不低于7公顷，不超过60班。应配置教学楼、实验楼、行政楼、艺术楼或报告厅、图书馆、体育馆、室内游泳池、运动场、饭堂、宿舍、后勤及附属保障设施等。第二、第三圈层的优质中学应配置骨干教师人才用房。</w:t>
      </w:r>
    </w:p>
    <w:p>
      <w:pPr>
        <w:spacing w:line="560" w:lineRule="exact"/>
        <w:ind w:firstLine="640" w:firstLineChars="200"/>
      </w:pPr>
      <w:r>
        <w:t>（2）医疗卫生设施。</w:t>
      </w:r>
      <w:r>
        <w:rPr>
          <w:rFonts w:hint="eastAsia"/>
        </w:rPr>
        <w:t>提高社区卫生服务中心配置标准，建筑面积</w:t>
      </w:r>
      <w:r>
        <w:t>5000-10000</w:t>
      </w:r>
      <w:r>
        <w:rPr>
          <w:rFonts w:hint="eastAsia"/>
        </w:rPr>
        <w:t>平方米。</w:t>
      </w:r>
    </w:p>
    <w:p>
      <w:pPr>
        <w:spacing w:line="560" w:lineRule="exact"/>
        <w:ind w:firstLine="640" w:firstLineChars="200"/>
      </w:pPr>
      <w:r>
        <w:t>（3）文化体育设施。细化群众性体育运动场地配建要求，</w:t>
      </w:r>
      <w:r>
        <w:rPr>
          <w:szCs w:val="32"/>
          <w:shd w:val="clear" w:color="060000" w:fill="FFFFFF"/>
        </w:rPr>
        <w:t>新建居住区和社区达到人均室外体育用地0.3平方米以上、人均室内建筑面积0.1平方米以上。</w:t>
      </w:r>
    </w:p>
    <w:p>
      <w:pPr>
        <w:spacing w:line="560" w:lineRule="exact"/>
        <w:ind w:firstLine="640" w:firstLineChars="200"/>
      </w:pPr>
      <w:r>
        <w:t>（4）公园设施。提高社区公园的配置标准。</w:t>
      </w:r>
    </w:p>
    <w:p>
      <w:pPr>
        <w:spacing w:line="560" w:lineRule="exact"/>
        <w:ind w:firstLine="640" w:firstLineChars="200"/>
      </w:pPr>
      <w:r>
        <w:t>（5）市政公用设施。提高公交站场的配置标准。</w:t>
      </w:r>
    </w:p>
    <w:p>
      <w:pPr>
        <w:spacing w:line="560" w:lineRule="exact"/>
        <w:ind w:firstLine="640" w:firstLineChars="200"/>
      </w:pPr>
      <w:r>
        <w:rPr>
          <w:rFonts w:hint="eastAsia"/>
        </w:rPr>
        <w:t>（6）福利设施。提高街镇综合养老服务中心（颐康中心）配置标准。</w:t>
      </w:r>
    </w:p>
    <w:p>
      <w:pPr>
        <w:spacing w:line="560" w:lineRule="exact"/>
        <w:ind w:firstLine="640" w:firstLineChars="200"/>
      </w:pPr>
      <w:r>
        <w:t>3.居委级</w:t>
      </w:r>
      <w:r>
        <w:rPr>
          <w:rFonts w:hint="eastAsia"/>
        </w:rPr>
        <w:t>公共服务设施。</w:t>
      </w:r>
    </w:p>
    <w:p>
      <w:pPr>
        <w:spacing w:line="560" w:lineRule="exact"/>
        <w:ind w:firstLine="640" w:firstLineChars="200"/>
      </w:pPr>
      <w:r>
        <w:t>提高医疗卫生设施、公园设施、福利设施的配置标准。</w:t>
      </w:r>
    </w:p>
    <w:p>
      <w:pPr>
        <w:spacing w:line="560" w:lineRule="exact"/>
        <w:ind w:firstLine="640" w:firstLineChars="200"/>
      </w:pPr>
    </w:p>
    <w:p>
      <w:pPr>
        <w:spacing w:line="560" w:lineRule="exact"/>
        <w:ind w:firstLine="640" w:firstLineChars="200"/>
      </w:pPr>
      <w:r>
        <w:t>附表：1.市区统筹级</w:t>
      </w:r>
      <w:r>
        <w:rPr>
          <w:rFonts w:hint="eastAsia" w:ascii="宋体" w:hAnsi="宋体" w:cs="宋体"/>
          <w:spacing w:val="-6"/>
          <w:kern w:val="0"/>
          <w:szCs w:val="32"/>
        </w:rPr>
        <w:t>公共服务设施</w:t>
      </w:r>
      <w:r>
        <w:t>内容与规模标准</w:t>
      </w:r>
    </w:p>
    <w:p>
      <w:pPr>
        <w:spacing w:line="560" w:lineRule="exact"/>
        <w:ind w:firstLine="1600" w:firstLineChars="500"/>
      </w:pPr>
      <w:r>
        <w:t>2.街道级</w:t>
      </w:r>
      <w:r>
        <w:rPr>
          <w:rFonts w:hint="eastAsia"/>
        </w:rPr>
        <w:t>公共服务设施</w:t>
      </w:r>
      <w:r>
        <w:t>内容与规模标准</w:t>
      </w:r>
    </w:p>
    <w:p>
      <w:pPr>
        <w:spacing w:line="560" w:lineRule="exact"/>
        <w:ind w:firstLine="1600" w:firstLineChars="500"/>
      </w:pPr>
      <w:r>
        <w:t>3.</w:t>
      </w:r>
      <w:r>
        <w:rPr>
          <w:szCs w:val="24"/>
        </w:rPr>
        <w:t>社区中心配置标准</w:t>
      </w:r>
    </w:p>
    <w:p>
      <w:pPr>
        <w:spacing w:line="560" w:lineRule="exact"/>
        <w:ind w:firstLine="1600" w:firstLineChars="500"/>
      </w:pPr>
      <w:r>
        <w:t>4.居委级</w:t>
      </w:r>
      <w:r>
        <w:rPr>
          <w:rFonts w:hint="eastAsia"/>
        </w:rPr>
        <w:t>公共服务设施</w:t>
      </w:r>
      <w:r>
        <w:t>内容与规模标准</w:t>
      </w:r>
    </w:p>
    <w:p>
      <w:pPr>
        <w:spacing w:line="560" w:lineRule="exact"/>
        <w:ind w:firstLine="1600" w:firstLineChars="500"/>
        <w:rPr>
          <w:rFonts w:ascii="宋体" w:hAnsi="宋体" w:cs="宋体"/>
          <w:spacing w:val="-6"/>
          <w:kern w:val="0"/>
          <w:szCs w:val="32"/>
        </w:rPr>
      </w:pPr>
      <w:r>
        <w:t>5.产业（</w:t>
      </w:r>
      <w:r>
        <w:rPr>
          <w:rFonts w:hint="eastAsia"/>
        </w:rPr>
        <w:t>商业商务服务业</w:t>
      </w:r>
      <w:r>
        <w:t>）片区的</w:t>
      </w:r>
      <w:r>
        <w:rPr>
          <w:rFonts w:hint="eastAsia" w:ascii="宋体" w:hAnsi="宋体" w:cs="宋体"/>
          <w:spacing w:val="-6"/>
          <w:kern w:val="0"/>
          <w:szCs w:val="32"/>
        </w:rPr>
        <w:t>公共服务设施</w:t>
      </w:r>
    </w:p>
    <w:p>
      <w:pPr>
        <w:spacing w:line="560" w:lineRule="exact"/>
        <w:ind w:firstLine="1600" w:firstLineChars="500"/>
        <w:rPr>
          <w:rFonts w:ascii="仿宋_GB2312"/>
        </w:rPr>
      </w:pPr>
      <w:r>
        <w:t>内容与规模标准</w:t>
      </w:r>
    </w:p>
    <w:p>
      <w:pPr>
        <w:widowControl/>
        <w:jc w:val="left"/>
        <w:rPr>
          <w:rFonts w:ascii="仿宋_GB2312"/>
        </w:rPr>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p>
    <w:p>
      <w:pPr>
        <w:widowControl/>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附表1</w:t>
      </w:r>
    </w:p>
    <w:p>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市区统筹级公共服务设施内容与规模标准</w:t>
      </w:r>
    </w:p>
    <w:tbl>
      <w:tblPr>
        <w:tblStyle w:val="7"/>
        <w:tblW w:w="15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887"/>
        <w:gridCol w:w="1242"/>
        <w:gridCol w:w="1389"/>
        <w:gridCol w:w="1623"/>
        <w:gridCol w:w="1452"/>
        <w:gridCol w:w="3700"/>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3647" w:type="dxa"/>
            <w:gridSpan w:val="3"/>
            <w:vAlign w:val="center"/>
          </w:tcPr>
          <w:p>
            <w:pPr>
              <w:spacing w:line="400" w:lineRule="exact"/>
              <w:jc w:val="center"/>
              <w:rPr>
                <w:rFonts w:ascii="仿宋_GB2312"/>
                <w:b/>
                <w:kern w:val="0"/>
                <w:sz w:val="24"/>
                <w:szCs w:val="24"/>
              </w:rPr>
            </w:pPr>
            <w:r>
              <w:rPr>
                <w:rFonts w:hint="eastAsia" w:ascii="仿宋_GB2312"/>
                <w:b/>
                <w:kern w:val="0"/>
                <w:sz w:val="24"/>
                <w:szCs w:val="24"/>
              </w:rPr>
              <w:t>类别</w:t>
            </w:r>
          </w:p>
        </w:tc>
        <w:tc>
          <w:tcPr>
            <w:tcW w:w="3012" w:type="dxa"/>
            <w:gridSpan w:val="2"/>
            <w:vAlign w:val="center"/>
          </w:tcPr>
          <w:p>
            <w:pPr>
              <w:spacing w:line="400" w:lineRule="exact"/>
              <w:jc w:val="center"/>
              <w:rPr>
                <w:rFonts w:ascii="仿宋_GB2312"/>
                <w:b/>
                <w:kern w:val="0"/>
                <w:sz w:val="24"/>
                <w:szCs w:val="24"/>
              </w:rPr>
            </w:pPr>
            <w:r>
              <w:rPr>
                <w:rFonts w:hint="eastAsia" w:ascii="仿宋_GB2312"/>
                <w:b/>
                <w:kern w:val="0"/>
                <w:sz w:val="24"/>
                <w:szCs w:val="24"/>
              </w:rPr>
              <w:t>一般规模</w:t>
            </w:r>
          </w:p>
        </w:tc>
        <w:tc>
          <w:tcPr>
            <w:tcW w:w="1452" w:type="dxa"/>
            <w:vMerge w:val="restart"/>
            <w:vAlign w:val="center"/>
          </w:tcPr>
          <w:p>
            <w:pPr>
              <w:spacing w:line="400" w:lineRule="exact"/>
              <w:jc w:val="center"/>
              <w:rPr>
                <w:rFonts w:ascii="仿宋_GB2312"/>
                <w:b/>
                <w:kern w:val="0"/>
                <w:sz w:val="24"/>
                <w:szCs w:val="24"/>
              </w:rPr>
            </w:pPr>
            <w:r>
              <w:rPr>
                <w:rFonts w:hint="eastAsia" w:ascii="仿宋_GB2312"/>
                <w:b/>
                <w:kern w:val="0"/>
                <w:sz w:val="24"/>
                <w:szCs w:val="24"/>
              </w:rPr>
              <w:t>服务规模（万人）</w:t>
            </w:r>
          </w:p>
        </w:tc>
        <w:tc>
          <w:tcPr>
            <w:tcW w:w="3700" w:type="dxa"/>
            <w:vMerge w:val="restart"/>
            <w:vAlign w:val="center"/>
          </w:tcPr>
          <w:p>
            <w:pPr>
              <w:spacing w:line="400" w:lineRule="exact"/>
              <w:jc w:val="center"/>
              <w:rPr>
                <w:rFonts w:ascii="仿宋_GB2312"/>
                <w:b/>
                <w:kern w:val="0"/>
                <w:sz w:val="24"/>
                <w:szCs w:val="24"/>
              </w:rPr>
            </w:pPr>
            <w:r>
              <w:rPr>
                <w:rFonts w:hint="eastAsia" w:ascii="仿宋_GB2312"/>
                <w:b/>
                <w:kern w:val="0"/>
                <w:sz w:val="24"/>
                <w:szCs w:val="24"/>
              </w:rPr>
              <w:t>规划设置要求</w:t>
            </w:r>
          </w:p>
        </w:tc>
        <w:tc>
          <w:tcPr>
            <w:tcW w:w="3241" w:type="dxa"/>
            <w:vMerge w:val="restart"/>
            <w:vAlign w:val="center"/>
          </w:tcPr>
          <w:p>
            <w:pPr>
              <w:spacing w:line="400" w:lineRule="exact"/>
              <w:jc w:val="center"/>
              <w:rPr>
                <w:rFonts w:ascii="仿宋_GB2312"/>
                <w:b/>
                <w:kern w:val="0"/>
                <w:sz w:val="24"/>
                <w:szCs w:val="24"/>
              </w:rPr>
            </w:pPr>
            <w:r>
              <w:rPr>
                <w:rFonts w:hint="eastAsia" w:ascii="仿宋_GB2312"/>
                <w:b/>
                <w:kern w:val="0"/>
                <w:sz w:val="24"/>
                <w:szCs w:val="24"/>
              </w:rPr>
              <w:t>新增或提高配建标准</w:t>
            </w:r>
          </w:p>
          <w:p>
            <w:pPr>
              <w:spacing w:line="400" w:lineRule="exact"/>
              <w:jc w:val="center"/>
              <w:rPr>
                <w:rFonts w:ascii="仿宋_GB2312"/>
                <w:b/>
                <w:kern w:val="0"/>
                <w:sz w:val="24"/>
                <w:szCs w:val="24"/>
              </w:rPr>
            </w:pPr>
            <w:r>
              <w:rPr>
                <w:rFonts w:hint="eastAsia" w:ascii="仿宋_GB2312"/>
                <w:b/>
                <w:kern w:val="0"/>
                <w:sz w:val="24"/>
                <w:szCs w:val="24"/>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blHeader/>
          <w:jc w:val="center"/>
        </w:trPr>
        <w:tc>
          <w:tcPr>
            <w:tcW w:w="1518" w:type="dxa"/>
            <w:vAlign w:val="center"/>
          </w:tcPr>
          <w:p>
            <w:pPr>
              <w:spacing w:line="400" w:lineRule="exact"/>
              <w:jc w:val="center"/>
              <w:rPr>
                <w:rFonts w:ascii="仿宋_GB2312"/>
                <w:b/>
                <w:kern w:val="0"/>
                <w:sz w:val="24"/>
                <w:szCs w:val="24"/>
              </w:rPr>
            </w:pPr>
            <w:r>
              <w:rPr>
                <w:rFonts w:hint="eastAsia" w:ascii="仿宋_GB2312"/>
                <w:b/>
                <w:kern w:val="0"/>
                <w:sz w:val="24"/>
                <w:szCs w:val="24"/>
              </w:rPr>
              <w:t>设施类别</w:t>
            </w:r>
          </w:p>
        </w:tc>
        <w:tc>
          <w:tcPr>
            <w:tcW w:w="2129" w:type="dxa"/>
            <w:gridSpan w:val="2"/>
            <w:vAlign w:val="center"/>
          </w:tcPr>
          <w:p>
            <w:pPr>
              <w:spacing w:line="400" w:lineRule="exact"/>
              <w:jc w:val="center"/>
              <w:rPr>
                <w:rFonts w:ascii="仿宋_GB2312"/>
                <w:b/>
                <w:kern w:val="0"/>
                <w:sz w:val="24"/>
                <w:szCs w:val="24"/>
              </w:rPr>
            </w:pPr>
            <w:r>
              <w:rPr>
                <w:rFonts w:hint="eastAsia" w:ascii="仿宋_GB2312"/>
                <w:b/>
                <w:kern w:val="0"/>
                <w:sz w:val="24"/>
                <w:szCs w:val="24"/>
              </w:rPr>
              <w:t>设置项目</w:t>
            </w:r>
          </w:p>
        </w:tc>
        <w:tc>
          <w:tcPr>
            <w:tcW w:w="1389" w:type="dxa"/>
            <w:vAlign w:val="center"/>
          </w:tcPr>
          <w:p>
            <w:pPr>
              <w:spacing w:line="400" w:lineRule="exact"/>
              <w:jc w:val="center"/>
              <w:rPr>
                <w:b/>
                <w:kern w:val="0"/>
                <w:sz w:val="24"/>
                <w:szCs w:val="24"/>
              </w:rPr>
            </w:pPr>
            <w:r>
              <w:rPr>
                <w:b/>
                <w:kern w:val="0"/>
                <w:sz w:val="24"/>
                <w:szCs w:val="24"/>
              </w:rPr>
              <w:t>用地面积</w:t>
            </w:r>
          </w:p>
          <w:p>
            <w:pPr>
              <w:spacing w:line="400" w:lineRule="exact"/>
              <w:jc w:val="center"/>
              <w:rPr>
                <w:b/>
                <w:kern w:val="0"/>
                <w:sz w:val="24"/>
                <w:szCs w:val="24"/>
              </w:rPr>
            </w:pPr>
            <w:r>
              <w:rPr>
                <w:b/>
                <w:kern w:val="0"/>
                <w:sz w:val="24"/>
                <w:szCs w:val="24"/>
              </w:rPr>
              <w:t>（</w:t>
            </w:r>
            <w:r>
              <w:rPr>
                <w:rFonts w:hint="eastAsia"/>
                <w:b/>
                <w:kern w:val="0"/>
                <w:sz w:val="24"/>
                <w:szCs w:val="24"/>
              </w:rPr>
              <w:t>平方米</w:t>
            </w:r>
            <w:r>
              <w:rPr>
                <w:b/>
                <w:kern w:val="0"/>
                <w:sz w:val="24"/>
                <w:szCs w:val="24"/>
              </w:rPr>
              <w:t>）</w:t>
            </w:r>
          </w:p>
        </w:tc>
        <w:tc>
          <w:tcPr>
            <w:tcW w:w="1623" w:type="dxa"/>
            <w:vAlign w:val="center"/>
          </w:tcPr>
          <w:p>
            <w:pPr>
              <w:spacing w:line="400" w:lineRule="exact"/>
              <w:jc w:val="center"/>
              <w:rPr>
                <w:b/>
                <w:kern w:val="0"/>
                <w:sz w:val="24"/>
                <w:szCs w:val="24"/>
              </w:rPr>
            </w:pPr>
            <w:r>
              <w:rPr>
                <w:b/>
                <w:kern w:val="0"/>
                <w:sz w:val="24"/>
                <w:szCs w:val="24"/>
              </w:rPr>
              <w:t>建筑面积</w:t>
            </w:r>
          </w:p>
          <w:p>
            <w:pPr>
              <w:spacing w:line="400" w:lineRule="exact"/>
              <w:jc w:val="center"/>
              <w:rPr>
                <w:b/>
                <w:kern w:val="0"/>
                <w:sz w:val="24"/>
                <w:szCs w:val="24"/>
              </w:rPr>
            </w:pPr>
            <w:r>
              <w:rPr>
                <w:b/>
                <w:kern w:val="0"/>
                <w:sz w:val="24"/>
                <w:szCs w:val="24"/>
              </w:rPr>
              <w:t>（</w:t>
            </w:r>
            <w:r>
              <w:rPr>
                <w:rFonts w:hint="eastAsia"/>
                <w:b/>
                <w:kern w:val="0"/>
                <w:sz w:val="24"/>
                <w:szCs w:val="24"/>
              </w:rPr>
              <w:t>平方米</w:t>
            </w:r>
            <w:r>
              <w:rPr>
                <w:b/>
                <w:kern w:val="0"/>
                <w:sz w:val="24"/>
                <w:szCs w:val="24"/>
              </w:rPr>
              <w:t>）</w:t>
            </w:r>
          </w:p>
        </w:tc>
        <w:tc>
          <w:tcPr>
            <w:tcW w:w="1452" w:type="dxa"/>
            <w:vMerge w:val="continue"/>
            <w:vAlign w:val="center"/>
          </w:tcPr>
          <w:p>
            <w:pPr>
              <w:spacing w:line="400" w:lineRule="exact"/>
              <w:jc w:val="center"/>
              <w:rPr>
                <w:rFonts w:ascii="仿宋_GB2312"/>
                <w:kern w:val="0"/>
                <w:sz w:val="24"/>
                <w:szCs w:val="24"/>
              </w:rPr>
            </w:pPr>
          </w:p>
        </w:tc>
        <w:tc>
          <w:tcPr>
            <w:tcW w:w="3700" w:type="dxa"/>
            <w:vMerge w:val="continue"/>
          </w:tcPr>
          <w:p>
            <w:pPr>
              <w:spacing w:line="400" w:lineRule="exact"/>
              <w:jc w:val="center"/>
              <w:rPr>
                <w:rFonts w:ascii="仿宋_GB2312"/>
                <w:kern w:val="0"/>
                <w:sz w:val="24"/>
                <w:szCs w:val="24"/>
              </w:rPr>
            </w:pPr>
          </w:p>
        </w:tc>
        <w:tc>
          <w:tcPr>
            <w:tcW w:w="3241" w:type="dxa"/>
            <w:vMerge w:val="continue"/>
            <w:vAlign w:val="center"/>
          </w:tcPr>
          <w:p>
            <w:pPr>
              <w:spacing w:line="400" w:lineRule="exact"/>
              <w:jc w:val="center"/>
              <w:rPr>
                <w:rFonts w:ascii="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1518" w:type="dxa"/>
            <w:vMerge w:val="restart"/>
            <w:vAlign w:val="center"/>
          </w:tcPr>
          <w:p>
            <w:pPr>
              <w:adjustRightInd w:val="0"/>
              <w:spacing w:line="240" w:lineRule="exact"/>
              <w:jc w:val="center"/>
              <w:rPr>
                <w:sz w:val="24"/>
                <w:szCs w:val="24"/>
              </w:rPr>
            </w:pPr>
            <w:r>
              <w:rPr>
                <w:sz w:val="24"/>
                <w:szCs w:val="24"/>
              </w:rPr>
              <w:t>教育设施</w:t>
            </w:r>
          </w:p>
        </w:tc>
        <w:tc>
          <w:tcPr>
            <w:tcW w:w="2129" w:type="dxa"/>
            <w:gridSpan w:val="2"/>
            <w:vAlign w:val="center"/>
          </w:tcPr>
          <w:p>
            <w:pPr>
              <w:adjustRightInd w:val="0"/>
              <w:spacing w:line="240" w:lineRule="exact"/>
              <w:jc w:val="center"/>
              <w:rPr>
                <w:sz w:val="24"/>
                <w:szCs w:val="24"/>
              </w:rPr>
            </w:pPr>
            <w:r>
              <w:rPr>
                <w:sz w:val="24"/>
                <w:szCs w:val="24"/>
              </w:rPr>
              <w:t>综合性特殊教育</w:t>
            </w:r>
            <w:r>
              <w:rPr>
                <w:rFonts w:hint="eastAsia"/>
                <w:sz w:val="24"/>
                <w:szCs w:val="24"/>
              </w:rPr>
              <w:t>设施</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r>
              <w:rPr>
                <w:rFonts w:hint="eastAsia"/>
                <w:sz w:val="24"/>
                <w:szCs w:val="24"/>
              </w:rPr>
              <w:t>≥</w:t>
            </w:r>
            <w:r>
              <w:rPr>
                <w:sz w:val="24"/>
                <w:szCs w:val="24"/>
              </w:rPr>
              <w:t>30</w:t>
            </w:r>
          </w:p>
        </w:tc>
        <w:tc>
          <w:tcPr>
            <w:tcW w:w="3700" w:type="dxa"/>
            <w:vAlign w:val="center"/>
          </w:tcPr>
          <w:p>
            <w:pPr>
              <w:adjustRightInd w:val="0"/>
              <w:spacing w:line="240" w:lineRule="exact"/>
              <w:rPr>
                <w:sz w:val="24"/>
                <w:szCs w:val="24"/>
              </w:rPr>
            </w:pPr>
            <w:r>
              <w:rPr>
                <w:rFonts w:hint="eastAsia"/>
                <w:sz w:val="24"/>
                <w:szCs w:val="24"/>
              </w:rPr>
              <w:t>1.</w:t>
            </w:r>
            <w:r>
              <w:rPr>
                <w:sz w:val="24"/>
                <w:szCs w:val="24"/>
              </w:rPr>
              <w:t>30万人口以上的行政区应建有1所及以上符合国家标准的义务教育阶段综合性特殊教育学校，同时预留残疾儿童学前教育、残疾人高中阶段教育发展用地。</w:t>
            </w:r>
          </w:p>
          <w:p>
            <w:pPr>
              <w:adjustRightInd w:val="0"/>
              <w:spacing w:line="240" w:lineRule="exact"/>
              <w:rPr>
                <w:sz w:val="24"/>
                <w:szCs w:val="24"/>
                <w:lang w:val="zh-TW"/>
              </w:rPr>
            </w:pPr>
            <w:r>
              <w:rPr>
                <w:rFonts w:hint="eastAsia"/>
                <w:sz w:val="24"/>
                <w:szCs w:val="24"/>
              </w:rPr>
              <w:t>2.按照专项规划和行业规范，结合用地情况落实。</w:t>
            </w:r>
          </w:p>
        </w:tc>
        <w:tc>
          <w:tcPr>
            <w:tcW w:w="3241" w:type="dxa"/>
            <w:vAlign w:val="center"/>
          </w:tcPr>
          <w:p>
            <w:pPr>
              <w:adjustRightInd w:val="0"/>
              <w:spacing w:line="240" w:lineRule="exact"/>
              <w:rPr>
                <w:sz w:val="24"/>
                <w:szCs w:val="24"/>
              </w:rPr>
            </w:pPr>
            <w:r>
              <w:rPr>
                <w:sz w:val="24"/>
                <w:szCs w:val="24"/>
              </w:rPr>
              <w:t>1.《广东省促进特殊教育公平融合发展行动方案》（粤教基2019〔2019〕30号）</w:t>
            </w:r>
          </w:p>
          <w:p>
            <w:pPr>
              <w:adjustRightInd w:val="0"/>
              <w:spacing w:line="240" w:lineRule="exact"/>
              <w:rPr>
                <w:sz w:val="24"/>
                <w:szCs w:val="24"/>
              </w:rPr>
            </w:pPr>
            <w:r>
              <w:rPr>
                <w:sz w:val="24"/>
                <w:szCs w:val="24"/>
              </w:rPr>
              <w:t>2.《特殊教育学校建筑设计标准》（JGJ 76-2019）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sz w:val="24"/>
                <w:szCs w:val="24"/>
              </w:rPr>
              <w:t>职业教育设施</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lang w:val="zh-TW"/>
              </w:rPr>
            </w:pPr>
            <w:r>
              <w:rPr>
                <w:rFonts w:hint="eastAsia"/>
                <w:sz w:val="24"/>
                <w:szCs w:val="24"/>
              </w:rPr>
              <w:t>按照专项规划和行业规范，结合用地情况落实。</w:t>
            </w:r>
          </w:p>
        </w:tc>
        <w:tc>
          <w:tcPr>
            <w:tcW w:w="3241" w:type="dxa"/>
            <w:vAlign w:val="center"/>
          </w:tcPr>
          <w:p>
            <w:pPr>
              <w:adjustRightInd w:val="0"/>
              <w:spacing w:line="240" w:lineRule="exact"/>
              <w:rPr>
                <w:sz w:val="24"/>
                <w:szCs w:val="24"/>
              </w:rPr>
            </w:pPr>
            <w:r>
              <w:rPr>
                <w:sz w:val="24"/>
                <w:szCs w:val="24"/>
              </w:rPr>
              <w:t>1.《中等职业学校建设标准》（建标192-2018）</w:t>
            </w:r>
          </w:p>
          <w:p>
            <w:pPr>
              <w:adjustRightInd w:val="0"/>
              <w:spacing w:line="240" w:lineRule="exact"/>
              <w:rPr>
                <w:sz w:val="24"/>
                <w:szCs w:val="24"/>
              </w:rPr>
            </w:pPr>
            <w:r>
              <w:rPr>
                <w:sz w:val="24"/>
                <w:szCs w:val="24"/>
              </w:rPr>
              <w:t>2.《高等职业学校建设标准》（建标197-2019）</w:t>
            </w:r>
          </w:p>
          <w:p>
            <w:pPr>
              <w:adjustRightInd w:val="0"/>
              <w:spacing w:line="240" w:lineRule="exact"/>
              <w:rPr>
                <w:sz w:val="24"/>
                <w:szCs w:val="24"/>
              </w:rPr>
            </w:pPr>
            <w:r>
              <w:rPr>
                <w:sz w:val="24"/>
                <w:szCs w:val="24"/>
              </w:rPr>
              <w:t>3.《高等职业学校设置标准（暂行）》</w:t>
            </w:r>
            <w:r>
              <w:rPr>
                <w:rFonts w:hint="eastAsia"/>
                <w:sz w:val="24"/>
                <w:szCs w:val="24"/>
              </w:rPr>
              <w:t>（教发</w:t>
            </w:r>
            <w:r>
              <w:rPr>
                <w:rFonts w:hint="eastAsia" w:ascii="仿宋_GB2312" w:hAnsi="仿宋_GB2312" w:cs="仿宋_GB2312"/>
                <w:sz w:val="24"/>
                <w:szCs w:val="24"/>
              </w:rPr>
              <w:t>〔</w:t>
            </w:r>
            <w:r>
              <w:rPr>
                <w:rFonts w:hint="eastAsia"/>
                <w:sz w:val="24"/>
                <w:szCs w:val="24"/>
              </w:rPr>
              <w:t>2000</w:t>
            </w:r>
            <w:r>
              <w:rPr>
                <w:rFonts w:hint="eastAsia" w:ascii="仿宋_GB2312" w:hAnsi="仿宋_GB2312" w:cs="仿宋_GB2312"/>
                <w:sz w:val="24"/>
                <w:szCs w:val="24"/>
              </w:rPr>
              <w:t>〕</w:t>
            </w:r>
            <w:r>
              <w:rPr>
                <w:rFonts w:hint="eastAsia"/>
                <w:sz w:val="24"/>
                <w:szCs w:val="24"/>
              </w:rPr>
              <w:t>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sz w:val="24"/>
                <w:szCs w:val="24"/>
              </w:rPr>
              <w:t>高等教育设施</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lang w:val="zh-TW"/>
              </w:rPr>
            </w:pPr>
            <w:r>
              <w:rPr>
                <w:rFonts w:hint="eastAsia"/>
                <w:sz w:val="24"/>
                <w:szCs w:val="24"/>
              </w:rPr>
              <w:t>按照专项规划和行业规范，结合用地情况落实。</w:t>
            </w:r>
          </w:p>
        </w:tc>
        <w:tc>
          <w:tcPr>
            <w:tcW w:w="3241" w:type="dxa"/>
            <w:vAlign w:val="center"/>
          </w:tcPr>
          <w:p>
            <w:pPr>
              <w:adjustRightInd w:val="0"/>
              <w:spacing w:line="240" w:lineRule="exact"/>
              <w:rPr>
                <w:sz w:val="24"/>
                <w:szCs w:val="24"/>
              </w:rPr>
            </w:pPr>
            <w:r>
              <w:rPr>
                <w:sz w:val="24"/>
                <w:szCs w:val="24"/>
              </w:rPr>
              <w:t>1.《普通高等学校建筑面积指标》（建标191-2018）</w:t>
            </w:r>
          </w:p>
          <w:p>
            <w:pPr>
              <w:adjustRightInd w:val="0"/>
              <w:spacing w:line="240" w:lineRule="exact"/>
              <w:rPr>
                <w:sz w:val="24"/>
                <w:szCs w:val="24"/>
              </w:rPr>
            </w:pPr>
            <w:r>
              <w:rPr>
                <w:sz w:val="24"/>
                <w:szCs w:val="24"/>
              </w:rPr>
              <w:t>2.《普通本科学校设置暂行规定》（教发〔2006〕18号）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5" w:hRule="atLeast"/>
          <w:jc w:val="center"/>
        </w:trPr>
        <w:tc>
          <w:tcPr>
            <w:tcW w:w="1518" w:type="dxa"/>
            <w:vAlign w:val="center"/>
          </w:tcPr>
          <w:p>
            <w:pPr>
              <w:adjustRightInd w:val="0"/>
              <w:spacing w:line="240" w:lineRule="exact"/>
              <w:jc w:val="center"/>
              <w:rPr>
                <w:sz w:val="24"/>
                <w:szCs w:val="24"/>
              </w:rPr>
            </w:pPr>
            <w:r>
              <w:rPr>
                <w:sz w:val="24"/>
                <w:szCs w:val="24"/>
              </w:rPr>
              <w:t>行政管理与社区服务</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sz w:val="24"/>
                <w:szCs w:val="24"/>
              </w:rPr>
              <w:t>公共法律服务</w:t>
            </w:r>
          </w:p>
          <w:p>
            <w:pPr>
              <w:adjustRightInd w:val="0"/>
              <w:spacing w:line="240" w:lineRule="exact"/>
              <w:jc w:val="center"/>
              <w:rPr>
                <w:sz w:val="24"/>
                <w:szCs w:val="24"/>
              </w:rPr>
            </w:pPr>
            <w:r>
              <w:rPr>
                <w:sz w:val="24"/>
                <w:szCs w:val="24"/>
              </w:rPr>
              <w:t>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400</w:t>
            </w:r>
          </w:p>
        </w:tc>
        <w:tc>
          <w:tcPr>
            <w:tcW w:w="1452" w:type="dxa"/>
            <w:vAlign w:val="center"/>
          </w:tcPr>
          <w:p>
            <w:pPr>
              <w:adjustRightInd w:val="0"/>
              <w:spacing w:line="240" w:lineRule="exact"/>
              <w:jc w:val="center"/>
              <w:rPr>
                <w:sz w:val="24"/>
                <w:szCs w:val="24"/>
              </w:rPr>
            </w:pPr>
            <w:r>
              <w:rPr>
                <w:rFonts w:hint="eastAsia"/>
                <w:sz w:val="24"/>
                <w:szCs w:val="24"/>
              </w:rPr>
              <w:t>每区设置至少</w:t>
            </w:r>
            <w:r>
              <w:rPr>
                <w:sz w:val="24"/>
                <w:szCs w:val="24"/>
              </w:rPr>
              <w:t>1</w:t>
            </w:r>
            <w:r>
              <w:rPr>
                <w:rFonts w:hint="eastAsia"/>
                <w:sz w:val="24"/>
                <w:szCs w:val="24"/>
              </w:rPr>
              <w:t>个区级公共法律服务中心</w:t>
            </w:r>
          </w:p>
        </w:tc>
        <w:tc>
          <w:tcPr>
            <w:tcW w:w="3700" w:type="dxa"/>
            <w:vAlign w:val="center"/>
          </w:tcPr>
          <w:p>
            <w:pPr>
              <w:spacing w:line="240" w:lineRule="exact"/>
              <w:rPr>
                <w:sz w:val="24"/>
                <w:szCs w:val="24"/>
              </w:rPr>
            </w:pPr>
            <w:r>
              <w:rPr>
                <w:sz w:val="24"/>
                <w:szCs w:val="24"/>
              </w:rPr>
              <w:t>选址应位于临街一层，交通便利。</w:t>
            </w:r>
          </w:p>
        </w:tc>
        <w:tc>
          <w:tcPr>
            <w:tcW w:w="3241" w:type="dxa"/>
            <w:vAlign w:val="center"/>
          </w:tcPr>
          <w:p>
            <w:pPr>
              <w:adjustRightInd w:val="0"/>
              <w:spacing w:line="240" w:lineRule="exact"/>
              <w:rPr>
                <w:sz w:val="24"/>
                <w:szCs w:val="24"/>
              </w:rPr>
            </w:pPr>
            <w:r>
              <w:rPr>
                <w:sz w:val="24"/>
                <w:szCs w:val="24"/>
              </w:rPr>
              <w:t>《司法部关于推进公共法律服务平台建设的意见》（司发〔2017〕9号）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1518" w:type="dxa"/>
            <w:vMerge w:val="restart"/>
            <w:vAlign w:val="center"/>
          </w:tcPr>
          <w:p>
            <w:pPr>
              <w:adjustRightInd w:val="0"/>
              <w:spacing w:line="240" w:lineRule="exact"/>
              <w:jc w:val="center"/>
              <w:rPr>
                <w:sz w:val="24"/>
                <w:szCs w:val="24"/>
              </w:rPr>
            </w:pPr>
            <w:r>
              <w:rPr>
                <w:sz w:val="24"/>
                <w:szCs w:val="24"/>
              </w:rPr>
              <w:t>医疗卫生</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sz w:val="24"/>
                <w:szCs w:val="24"/>
              </w:rPr>
              <w:t>综合医院</w:t>
            </w:r>
          </w:p>
        </w:tc>
        <w:tc>
          <w:tcPr>
            <w:tcW w:w="1389" w:type="dxa"/>
            <w:vAlign w:val="center"/>
          </w:tcPr>
          <w:p>
            <w:pPr>
              <w:adjustRightInd w:val="0"/>
              <w:spacing w:line="240" w:lineRule="exact"/>
              <w:jc w:val="center"/>
              <w:rPr>
                <w:sz w:val="24"/>
                <w:szCs w:val="24"/>
              </w:rPr>
            </w:pPr>
            <w:r>
              <w:rPr>
                <w:sz w:val="24"/>
                <w:szCs w:val="24"/>
              </w:rPr>
              <w:t>130平方米/床</w:t>
            </w:r>
          </w:p>
        </w:tc>
        <w:tc>
          <w:tcPr>
            <w:tcW w:w="1623" w:type="dxa"/>
            <w:vAlign w:val="center"/>
          </w:tcPr>
          <w:p>
            <w:pPr>
              <w:adjustRightInd w:val="0"/>
              <w:spacing w:line="240" w:lineRule="exact"/>
              <w:jc w:val="center"/>
              <w:rPr>
                <w:sz w:val="24"/>
                <w:szCs w:val="24"/>
              </w:rPr>
            </w:pPr>
            <w:r>
              <w:rPr>
                <w:rFonts w:hint="eastAsia"/>
                <w:sz w:val="24"/>
                <w:szCs w:val="24"/>
              </w:rPr>
              <w:t>115-135</w:t>
            </w:r>
            <w:r>
              <w:rPr>
                <w:sz w:val="24"/>
                <w:szCs w:val="24"/>
              </w:rPr>
              <w:t>平方米/床</w:t>
            </w:r>
          </w:p>
        </w:tc>
        <w:tc>
          <w:tcPr>
            <w:tcW w:w="1452" w:type="dxa"/>
            <w:vAlign w:val="center"/>
          </w:tcPr>
          <w:p>
            <w:pPr>
              <w:adjustRightInd w:val="0"/>
              <w:spacing w:line="240" w:lineRule="exact"/>
              <w:jc w:val="center"/>
              <w:rPr>
                <w:sz w:val="24"/>
                <w:szCs w:val="24"/>
              </w:rPr>
            </w:pPr>
            <w:r>
              <w:rPr>
                <w:sz w:val="24"/>
                <w:szCs w:val="24"/>
              </w:rPr>
              <w:t>10-20</w:t>
            </w:r>
          </w:p>
        </w:tc>
        <w:tc>
          <w:tcPr>
            <w:tcW w:w="3700" w:type="dxa"/>
            <w:vMerge w:val="restart"/>
            <w:vAlign w:val="center"/>
          </w:tcPr>
          <w:p>
            <w:pPr>
              <w:adjustRightInd w:val="0"/>
              <w:spacing w:line="240" w:lineRule="exact"/>
              <w:rPr>
                <w:sz w:val="24"/>
                <w:szCs w:val="24"/>
                <w:lang w:val="zh-TW"/>
              </w:rPr>
            </w:pPr>
            <w:r>
              <w:rPr>
                <w:rFonts w:hint="eastAsia"/>
                <w:sz w:val="24"/>
                <w:szCs w:val="24"/>
                <w:lang w:val="zh-TW"/>
              </w:rPr>
              <w:t>1.新建200床以上、500床以下医疗机构（或二级综合医院）用地面积原则上不低于3公顷。新建500床以上医疗机构（或三级综合医院）用地面积原则上不低于7公顷；经论证确实存在实施困难的，用地面积原则上不低于6.5公顷。按照专项规划和行业规范，结合用地情况落实。</w:t>
            </w:r>
          </w:p>
          <w:p>
            <w:pPr>
              <w:adjustRightInd w:val="0"/>
              <w:spacing w:line="240" w:lineRule="exact"/>
              <w:rPr>
                <w:sz w:val="24"/>
                <w:szCs w:val="24"/>
                <w:lang w:val="zh-TW"/>
              </w:rPr>
            </w:pPr>
            <w:r>
              <w:rPr>
                <w:rFonts w:hint="eastAsia"/>
                <w:sz w:val="24"/>
                <w:szCs w:val="24"/>
              </w:rPr>
              <w:t>2</w:t>
            </w:r>
            <w:r>
              <w:rPr>
                <w:rFonts w:hint="eastAsia"/>
                <w:sz w:val="24"/>
                <w:szCs w:val="24"/>
                <w:lang w:val="zh-TW"/>
              </w:rPr>
              <w:t>地形规整，工程地质和水文地质条件较好；市政基础设施完善，交通便利，宜面临两条城市道路，宜充分利用城市公共交通设施；环境宜安静，应符合环保评估的要求，应远离污染源；应远离易燃、易爆物品的生产和储存区、高压线路及其设施，宜远离噪声源、震动源和电磁场等区域。</w:t>
            </w:r>
          </w:p>
          <w:p>
            <w:pPr>
              <w:adjustRightInd w:val="0"/>
              <w:spacing w:line="240" w:lineRule="exact"/>
              <w:rPr>
                <w:sz w:val="24"/>
                <w:szCs w:val="24"/>
              </w:rPr>
            </w:pPr>
            <w:r>
              <w:rPr>
                <w:rFonts w:hint="eastAsia"/>
                <w:sz w:val="24"/>
                <w:szCs w:val="24"/>
              </w:rPr>
              <w:t>3</w:t>
            </w:r>
            <w:r>
              <w:rPr>
                <w:rFonts w:hint="eastAsia"/>
                <w:sz w:val="24"/>
                <w:szCs w:val="24"/>
                <w:lang w:val="zh-TW"/>
              </w:rPr>
              <w:t>.建筑面积只含7类基本业务用房，不含教学、科研、大型医用设备等配套业务用房。</w:t>
            </w:r>
            <w:r>
              <w:rPr>
                <w:rFonts w:hint="eastAsia"/>
                <w:sz w:val="24"/>
                <w:szCs w:val="24"/>
              </w:rPr>
              <w:t>。</w:t>
            </w:r>
          </w:p>
        </w:tc>
        <w:tc>
          <w:tcPr>
            <w:tcW w:w="3241" w:type="dxa"/>
            <w:vAlign w:val="center"/>
          </w:tcPr>
          <w:p>
            <w:pPr>
              <w:adjustRightInd w:val="0"/>
              <w:spacing w:line="240" w:lineRule="exact"/>
              <w:rPr>
                <w:sz w:val="24"/>
                <w:szCs w:val="24"/>
                <w:lang w:val="zh-TW" w:eastAsia="zh-TW"/>
              </w:rPr>
            </w:pPr>
            <w:r>
              <w:rPr>
                <w:sz w:val="24"/>
                <w:szCs w:val="24"/>
              </w:rPr>
              <w:t>1.《</w:t>
            </w:r>
            <w:r>
              <w:rPr>
                <w:sz w:val="24"/>
                <w:szCs w:val="24"/>
                <w:lang w:val="zh-TW"/>
              </w:rPr>
              <w:t>综合</w:t>
            </w:r>
            <w:r>
              <w:rPr>
                <w:sz w:val="24"/>
                <w:szCs w:val="24"/>
                <w:lang w:val="zh-TW" w:eastAsia="zh-TW"/>
              </w:rPr>
              <w:t>医院建设标准</w:t>
            </w:r>
            <w:r>
              <w:rPr>
                <w:sz w:val="24"/>
                <w:szCs w:val="24"/>
              </w:rPr>
              <w:t>》</w:t>
            </w:r>
          </w:p>
          <w:p>
            <w:pPr>
              <w:adjustRightInd w:val="0"/>
              <w:spacing w:line="240" w:lineRule="exact"/>
              <w:rPr>
                <w:sz w:val="24"/>
                <w:szCs w:val="24"/>
              </w:rPr>
            </w:pPr>
            <w:r>
              <w:rPr>
                <w:sz w:val="24"/>
                <w:szCs w:val="24"/>
              </w:rPr>
              <w:t>2.《</w:t>
            </w:r>
            <w:r>
              <w:rPr>
                <w:sz w:val="24"/>
                <w:szCs w:val="24"/>
                <w:lang w:val="zh-TW" w:eastAsia="zh-TW"/>
              </w:rPr>
              <w:t>广东省医院基本现代建设标准</w:t>
            </w:r>
            <w:r>
              <w:rPr>
                <w:sz w:val="24"/>
                <w:szCs w:val="24"/>
              </w:rPr>
              <w:t>》</w:t>
            </w:r>
            <w:r>
              <w:rPr>
                <w:sz w:val="24"/>
                <w:szCs w:val="24"/>
                <w:lang w:val="zh-TW"/>
              </w:rPr>
              <w:t>（粤卫</w:t>
            </w:r>
            <w:r>
              <w:rPr>
                <w:sz w:val="24"/>
                <w:szCs w:val="24"/>
              </w:rPr>
              <w:t xml:space="preserve">〔2003〕58号）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sz w:val="24"/>
                <w:szCs w:val="24"/>
              </w:rPr>
              <w:t>中医医院</w:t>
            </w:r>
          </w:p>
        </w:tc>
        <w:tc>
          <w:tcPr>
            <w:tcW w:w="1389" w:type="dxa"/>
            <w:vAlign w:val="center"/>
          </w:tcPr>
          <w:p>
            <w:pPr>
              <w:adjustRightInd w:val="0"/>
              <w:spacing w:line="240" w:lineRule="exact"/>
              <w:jc w:val="center"/>
              <w:rPr>
                <w:sz w:val="24"/>
                <w:szCs w:val="24"/>
              </w:rPr>
            </w:pPr>
            <w:r>
              <w:rPr>
                <w:sz w:val="24"/>
                <w:szCs w:val="24"/>
              </w:rPr>
              <w:t>130平方米/床</w:t>
            </w:r>
          </w:p>
        </w:tc>
        <w:tc>
          <w:tcPr>
            <w:tcW w:w="1623" w:type="dxa"/>
            <w:vAlign w:val="center"/>
          </w:tcPr>
          <w:p>
            <w:pPr>
              <w:adjustRightInd w:val="0"/>
              <w:spacing w:line="240" w:lineRule="exact"/>
              <w:jc w:val="center"/>
              <w:rPr>
                <w:sz w:val="24"/>
                <w:szCs w:val="24"/>
              </w:rPr>
            </w:pPr>
            <w:r>
              <w:rPr>
                <w:rFonts w:hint="eastAsia"/>
                <w:sz w:val="24"/>
                <w:szCs w:val="24"/>
              </w:rPr>
              <w:t>105-110</w:t>
            </w:r>
            <w:r>
              <w:rPr>
                <w:sz w:val="24"/>
                <w:szCs w:val="24"/>
              </w:rPr>
              <w:t>平方米/床</w:t>
            </w:r>
          </w:p>
        </w:tc>
        <w:tc>
          <w:tcPr>
            <w:tcW w:w="1452" w:type="dxa"/>
            <w:vAlign w:val="center"/>
          </w:tcPr>
          <w:p>
            <w:pPr>
              <w:adjustRightInd w:val="0"/>
              <w:spacing w:line="240" w:lineRule="exact"/>
              <w:jc w:val="center"/>
              <w:rPr>
                <w:sz w:val="24"/>
                <w:szCs w:val="24"/>
              </w:rPr>
            </w:pPr>
            <w:r>
              <w:rPr>
                <w:sz w:val="24"/>
                <w:szCs w:val="24"/>
              </w:rPr>
              <w:t>10-20</w:t>
            </w:r>
          </w:p>
        </w:tc>
        <w:tc>
          <w:tcPr>
            <w:tcW w:w="3700" w:type="dxa"/>
            <w:vMerge w:val="continue"/>
          </w:tcPr>
          <w:p>
            <w:pPr>
              <w:adjustRightInd w:val="0"/>
              <w:spacing w:line="240" w:lineRule="exact"/>
              <w:rPr>
                <w:sz w:val="24"/>
                <w:szCs w:val="24"/>
              </w:rPr>
            </w:pPr>
          </w:p>
        </w:tc>
        <w:tc>
          <w:tcPr>
            <w:tcW w:w="3241" w:type="dxa"/>
            <w:vAlign w:val="center"/>
          </w:tcPr>
          <w:p>
            <w:pPr>
              <w:adjustRightInd w:val="0"/>
              <w:spacing w:line="240" w:lineRule="exact"/>
              <w:rPr>
                <w:sz w:val="24"/>
                <w:szCs w:val="24"/>
                <w:lang w:val="zh-TW" w:eastAsia="zh-TW"/>
              </w:rPr>
            </w:pPr>
            <w:r>
              <w:rPr>
                <w:sz w:val="24"/>
                <w:szCs w:val="24"/>
                <w:lang w:val="zh-TW"/>
              </w:rPr>
              <w:t>1.《</w:t>
            </w:r>
            <w:r>
              <w:rPr>
                <w:sz w:val="24"/>
                <w:szCs w:val="24"/>
                <w:lang w:val="zh-TW" w:eastAsia="zh-TW"/>
              </w:rPr>
              <w:t>中医医院建设标准</w:t>
            </w:r>
            <w:r>
              <w:rPr>
                <w:sz w:val="24"/>
                <w:szCs w:val="24"/>
                <w:lang w:val="zh-TW"/>
              </w:rPr>
              <w:t>》</w:t>
            </w:r>
          </w:p>
          <w:p>
            <w:pPr>
              <w:adjustRightInd w:val="0"/>
              <w:spacing w:line="240" w:lineRule="exact"/>
              <w:rPr>
                <w:sz w:val="24"/>
                <w:szCs w:val="24"/>
                <w:lang w:eastAsia="zh-TW"/>
              </w:rPr>
            </w:pPr>
            <w:r>
              <w:rPr>
                <w:sz w:val="24"/>
                <w:szCs w:val="24"/>
              </w:rPr>
              <w:t>2.《</w:t>
            </w:r>
            <w:r>
              <w:rPr>
                <w:sz w:val="24"/>
                <w:szCs w:val="24"/>
                <w:lang w:val="zh-TW" w:eastAsia="zh-TW"/>
              </w:rPr>
              <w:t>广东省医院基本现代建设标准</w:t>
            </w:r>
            <w:r>
              <w:rPr>
                <w:sz w:val="24"/>
                <w:szCs w:val="24"/>
              </w:rPr>
              <w:t>》</w:t>
            </w:r>
            <w:r>
              <w:rPr>
                <w:sz w:val="24"/>
                <w:szCs w:val="24"/>
                <w:lang w:val="zh-TW"/>
              </w:rPr>
              <w:t>（粤卫</w:t>
            </w:r>
            <w:r>
              <w:rPr>
                <w:sz w:val="24"/>
                <w:szCs w:val="24"/>
              </w:rPr>
              <w:t>〔2003〕58号）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sz w:val="24"/>
                <w:szCs w:val="24"/>
              </w:rPr>
              <w:t>专科医院</w:t>
            </w:r>
          </w:p>
        </w:tc>
        <w:tc>
          <w:tcPr>
            <w:tcW w:w="1389" w:type="dxa"/>
            <w:vAlign w:val="center"/>
          </w:tcPr>
          <w:p>
            <w:pPr>
              <w:adjustRightInd w:val="0"/>
              <w:spacing w:line="240" w:lineRule="exact"/>
              <w:jc w:val="center"/>
              <w:rPr>
                <w:sz w:val="24"/>
                <w:szCs w:val="24"/>
              </w:rPr>
            </w:pPr>
            <w:r>
              <w:rPr>
                <w:sz w:val="24"/>
                <w:szCs w:val="24"/>
              </w:rPr>
              <w:t>130平方米/床</w:t>
            </w:r>
          </w:p>
        </w:tc>
        <w:tc>
          <w:tcPr>
            <w:tcW w:w="1623" w:type="dxa"/>
            <w:vAlign w:val="center"/>
          </w:tcPr>
          <w:p>
            <w:pPr>
              <w:adjustRightInd w:val="0"/>
              <w:spacing w:line="240" w:lineRule="exact"/>
              <w:jc w:val="center"/>
              <w:rPr>
                <w:sz w:val="24"/>
                <w:szCs w:val="24"/>
              </w:rPr>
            </w:pPr>
            <w:r>
              <w:rPr>
                <w:sz w:val="24"/>
                <w:szCs w:val="24"/>
              </w:rPr>
              <w:t>110平方米/床</w:t>
            </w:r>
          </w:p>
        </w:tc>
        <w:tc>
          <w:tcPr>
            <w:tcW w:w="1452" w:type="dxa"/>
            <w:vAlign w:val="center"/>
          </w:tcPr>
          <w:p>
            <w:pPr>
              <w:adjustRightInd w:val="0"/>
              <w:spacing w:line="240" w:lineRule="exact"/>
              <w:jc w:val="center"/>
              <w:rPr>
                <w:sz w:val="24"/>
                <w:szCs w:val="24"/>
              </w:rPr>
            </w:pPr>
            <w:r>
              <w:rPr>
                <w:sz w:val="24"/>
                <w:szCs w:val="24"/>
              </w:rPr>
              <w:t>30-50</w:t>
            </w:r>
          </w:p>
        </w:tc>
        <w:tc>
          <w:tcPr>
            <w:tcW w:w="3700" w:type="dxa"/>
            <w:vMerge w:val="continue"/>
          </w:tcPr>
          <w:p>
            <w:pPr>
              <w:adjustRightInd w:val="0"/>
              <w:spacing w:line="240" w:lineRule="exact"/>
              <w:rPr>
                <w:sz w:val="24"/>
                <w:szCs w:val="24"/>
              </w:rPr>
            </w:pPr>
          </w:p>
        </w:tc>
        <w:tc>
          <w:tcPr>
            <w:tcW w:w="3241" w:type="dxa"/>
            <w:vAlign w:val="center"/>
          </w:tcPr>
          <w:p>
            <w:pPr>
              <w:adjustRightInd w:val="0"/>
              <w:spacing w:line="240" w:lineRule="exact"/>
              <w:rPr>
                <w:sz w:val="24"/>
                <w:szCs w:val="24"/>
              </w:rPr>
            </w:pPr>
            <w:r>
              <w:rPr>
                <w:sz w:val="24"/>
                <w:szCs w:val="24"/>
                <w:lang w:val="zh-TW"/>
              </w:rPr>
              <w:t>《</w:t>
            </w:r>
            <w:r>
              <w:rPr>
                <w:sz w:val="24"/>
                <w:szCs w:val="24"/>
                <w:lang w:val="zh-TW" w:eastAsia="zh-TW"/>
              </w:rPr>
              <w:t>广东省医院基本现代建设标准</w:t>
            </w:r>
            <w:r>
              <w:rPr>
                <w:sz w:val="24"/>
                <w:szCs w:val="24"/>
                <w:lang w:val="zh-TW"/>
              </w:rPr>
              <w:t>》（粤卫</w:t>
            </w:r>
            <w:r>
              <w:rPr>
                <w:sz w:val="24"/>
                <w:szCs w:val="24"/>
              </w:rPr>
              <w:t>〔2003〕58号）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7"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医疗卫生</w:t>
            </w:r>
          </w:p>
          <w:p>
            <w:pPr>
              <w:adjustRightInd w:val="0"/>
              <w:spacing w:line="240" w:lineRule="exact"/>
              <w:jc w:val="center"/>
              <w:rPr>
                <w:sz w:val="24"/>
                <w:szCs w:val="24"/>
              </w:rPr>
            </w:pPr>
            <w:r>
              <w:rPr>
                <w:rFonts w:hint="eastAsia"/>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疾病预防控制</w:t>
            </w:r>
          </w:p>
          <w:p>
            <w:pPr>
              <w:adjustRightInd w:val="0"/>
              <w:spacing w:line="240" w:lineRule="exact"/>
              <w:jc w:val="center"/>
              <w:rPr>
                <w:sz w:val="24"/>
                <w:szCs w:val="24"/>
              </w:rPr>
            </w:pPr>
            <w:r>
              <w:rPr>
                <w:rFonts w:hint="eastAsia"/>
                <w:sz w:val="24"/>
                <w:szCs w:val="24"/>
              </w:rPr>
              <w:t>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4100-6150</w:t>
            </w:r>
          </w:p>
        </w:tc>
        <w:tc>
          <w:tcPr>
            <w:tcW w:w="1452" w:type="dxa"/>
            <w:vAlign w:val="center"/>
          </w:tcPr>
          <w:p>
            <w:pPr>
              <w:adjustRightInd w:val="0"/>
              <w:spacing w:line="240" w:lineRule="exact"/>
              <w:jc w:val="center"/>
              <w:rPr>
                <w:sz w:val="24"/>
                <w:szCs w:val="24"/>
              </w:rPr>
            </w:pPr>
            <w:r>
              <w:rPr>
                <w:rFonts w:hint="eastAsia"/>
                <w:sz w:val="24"/>
                <w:szCs w:val="24"/>
              </w:rPr>
              <w:t>每个区设置</w:t>
            </w:r>
            <w:r>
              <w:rPr>
                <w:sz w:val="24"/>
                <w:szCs w:val="24"/>
              </w:rPr>
              <w:t>1所区级疾控中心</w:t>
            </w:r>
          </w:p>
        </w:tc>
        <w:tc>
          <w:tcPr>
            <w:tcW w:w="3700" w:type="dxa"/>
            <w:vAlign w:val="center"/>
          </w:tcPr>
          <w:p>
            <w:pPr>
              <w:adjustRightInd w:val="0"/>
              <w:spacing w:line="240" w:lineRule="exact"/>
              <w:rPr>
                <w:sz w:val="24"/>
                <w:szCs w:val="24"/>
              </w:rPr>
            </w:pPr>
            <w:r>
              <w:rPr>
                <w:rFonts w:hint="eastAsia"/>
                <w:sz w:val="24"/>
                <w:szCs w:val="24"/>
              </w:rPr>
              <w:t>具备较好的工程地质条件和水文地质条件；周边宜有便利的水、电、路等公用基础设施；地形规整，交通方便；避让饮用水源保护区；避开化学、生物、噪声、振动、强电磁场等污染源及易燃易爆场所；建筑宜采取分散布局形式。实验用房宜与业务、保障、行政等其他功能用房分开设置，实验用房宜处于当地夏季最小风频上风向。不同类别实验用房宜独立设置。</w:t>
            </w:r>
          </w:p>
        </w:tc>
        <w:tc>
          <w:tcPr>
            <w:tcW w:w="3241" w:type="dxa"/>
            <w:vAlign w:val="center"/>
          </w:tcPr>
          <w:p>
            <w:pPr>
              <w:adjustRightInd w:val="0"/>
              <w:spacing w:line="240" w:lineRule="exact"/>
              <w:rPr>
                <w:sz w:val="24"/>
                <w:szCs w:val="24"/>
              </w:rPr>
            </w:pPr>
            <w:r>
              <w:rPr>
                <w:sz w:val="24"/>
                <w:szCs w:val="24"/>
              </w:rPr>
              <w:t>1.</w:t>
            </w:r>
            <w:r>
              <w:rPr>
                <w:rFonts w:hint="eastAsia"/>
                <w:sz w:val="24"/>
                <w:szCs w:val="24"/>
              </w:rPr>
              <w:t>《</w:t>
            </w:r>
            <w:r>
              <w:rPr>
                <w:sz w:val="24"/>
                <w:szCs w:val="24"/>
              </w:rPr>
              <w:t>疾病预防控制中心建设标准</w:t>
            </w:r>
            <w:r>
              <w:rPr>
                <w:rFonts w:hint="eastAsia"/>
                <w:sz w:val="24"/>
                <w:szCs w:val="24"/>
              </w:rPr>
              <w:t>》</w:t>
            </w:r>
            <w:r>
              <w:rPr>
                <w:sz w:val="24"/>
                <w:szCs w:val="24"/>
              </w:rPr>
              <w:t>（建标127</w:t>
            </w:r>
            <w:r>
              <w:rPr>
                <w:rFonts w:hint="eastAsia"/>
                <w:sz w:val="24"/>
                <w:szCs w:val="24"/>
              </w:rPr>
              <w:t>—</w:t>
            </w:r>
            <w:r>
              <w:rPr>
                <w:sz w:val="24"/>
                <w:szCs w:val="24"/>
              </w:rPr>
              <w:t>2009）</w:t>
            </w:r>
          </w:p>
          <w:p>
            <w:pPr>
              <w:adjustRightInd w:val="0"/>
              <w:spacing w:line="240" w:lineRule="exact"/>
              <w:rPr>
                <w:sz w:val="24"/>
                <w:szCs w:val="24"/>
              </w:rPr>
            </w:pPr>
            <w:r>
              <w:rPr>
                <w:sz w:val="24"/>
                <w:szCs w:val="24"/>
              </w:rPr>
              <w:t>2.承担国家重点任务的实验室，按认证要求增加相应面积。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6"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卫生监督机构</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2300-3000</w:t>
            </w:r>
          </w:p>
        </w:tc>
        <w:tc>
          <w:tcPr>
            <w:tcW w:w="1452" w:type="dxa"/>
            <w:vAlign w:val="center"/>
          </w:tcPr>
          <w:p>
            <w:pPr>
              <w:adjustRightInd w:val="0"/>
              <w:spacing w:line="240" w:lineRule="exact"/>
              <w:jc w:val="center"/>
              <w:rPr>
                <w:sz w:val="24"/>
                <w:szCs w:val="24"/>
              </w:rPr>
            </w:pPr>
            <w:r>
              <w:rPr>
                <w:rFonts w:hint="eastAsia"/>
                <w:sz w:val="24"/>
                <w:szCs w:val="24"/>
              </w:rPr>
              <w:t>每区设置</w:t>
            </w:r>
            <w:r>
              <w:rPr>
                <w:sz w:val="24"/>
                <w:szCs w:val="24"/>
              </w:rPr>
              <w:t>1所区级卫生监督所</w:t>
            </w:r>
          </w:p>
        </w:tc>
        <w:tc>
          <w:tcPr>
            <w:tcW w:w="3700" w:type="dxa"/>
            <w:vAlign w:val="center"/>
          </w:tcPr>
          <w:p>
            <w:pPr>
              <w:adjustRightInd w:val="0"/>
              <w:spacing w:line="240" w:lineRule="exact"/>
              <w:rPr>
                <w:sz w:val="24"/>
                <w:szCs w:val="24"/>
              </w:rPr>
            </w:pPr>
            <w:r>
              <w:rPr>
                <w:rFonts w:hint="eastAsia"/>
                <w:sz w:val="24"/>
                <w:szCs w:val="24"/>
              </w:rPr>
              <w:t>宜选在工程地质和水文地质条件较好、市政设施完善、交通方便的地方；与易燃、易爆物品场所和生产噪声、尘烟、散发有害气体等污染源的距离，应符合安全、卫生、和环境保护有关规定。</w:t>
            </w:r>
          </w:p>
        </w:tc>
        <w:tc>
          <w:tcPr>
            <w:tcW w:w="3241" w:type="dxa"/>
            <w:vAlign w:val="center"/>
          </w:tcPr>
          <w:p>
            <w:pPr>
              <w:adjustRightInd w:val="0"/>
              <w:spacing w:line="240" w:lineRule="exact"/>
              <w:rPr>
                <w:sz w:val="24"/>
                <w:szCs w:val="24"/>
              </w:rPr>
            </w:pPr>
            <w:r>
              <w:rPr>
                <w:rFonts w:hint="eastAsia"/>
                <w:sz w:val="24"/>
                <w:szCs w:val="24"/>
              </w:rPr>
              <w:t>《卫生部办公厅关于印发</w:t>
            </w:r>
            <w:r>
              <w:rPr>
                <w:sz w:val="24"/>
                <w:szCs w:val="24"/>
              </w:rPr>
              <w:t>&lt;</w:t>
            </w:r>
            <w:r>
              <w:rPr>
                <w:rFonts w:hint="eastAsia"/>
                <w:sz w:val="24"/>
                <w:szCs w:val="24"/>
              </w:rPr>
              <w:t>卫生监督机构建筑参考图集</w:t>
            </w:r>
            <w:r>
              <w:rPr>
                <w:sz w:val="24"/>
                <w:szCs w:val="24"/>
              </w:rPr>
              <w:t>&gt;</w:t>
            </w:r>
            <w:r>
              <w:rPr>
                <w:rFonts w:hint="eastAsia"/>
                <w:sz w:val="24"/>
                <w:szCs w:val="24"/>
              </w:rPr>
              <w:t>的通知》（卫办规财函〔</w:t>
            </w:r>
            <w:r>
              <w:rPr>
                <w:sz w:val="24"/>
                <w:szCs w:val="24"/>
              </w:rPr>
              <w:t>2011</w:t>
            </w:r>
            <w:r>
              <w:rPr>
                <w:rFonts w:hint="eastAsia"/>
                <w:sz w:val="24"/>
                <w:szCs w:val="24"/>
              </w:rPr>
              <w:t>〕</w:t>
            </w:r>
            <w:r>
              <w:rPr>
                <w:sz w:val="24"/>
                <w:szCs w:val="24"/>
              </w:rPr>
              <w:t>828号）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妇幼健康服务</w:t>
            </w:r>
          </w:p>
          <w:p>
            <w:pPr>
              <w:adjustRightInd w:val="0"/>
              <w:spacing w:line="240" w:lineRule="exact"/>
              <w:jc w:val="center"/>
              <w:rPr>
                <w:sz w:val="24"/>
                <w:szCs w:val="24"/>
              </w:rPr>
            </w:pPr>
            <w:r>
              <w:rPr>
                <w:rFonts w:hint="eastAsia"/>
                <w:sz w:val="24"/>
                <w:szCs w:val="24"/>
              </w:rPr>
              <w:t>机构</w:t>
            </w:r>
          </w:p>
        </w:tc>
        <w:tc>
          <w:tcPr>
            <w:tcW w:w="1389" w:type="dxa"/>
            <w:vAlign w:val="center"/>
          </w:tcPr>
          <w:p>
            <w:pPr>
              <w:adjustRightInd w:val="0"/>
              <w:spacing w:line="240" w:lineRule="exact"/>
              <w:jc w:val="center"/>
              <w:rPr>
                <w:sz w:val="24"/>
                <w:szCs w:val="24"/>
              </w:rPr>
            </w:pPr>
            <w:r>
              <w:rPr>
                <w:sz w:val="24"/>
                <w:szCs w:val="24"/>
              </w:rPr>
              <w:t>130平方米/床</w:t>
            </w:r>
          </w:p>
        </w:tc>
        <w:tc>
          <w:tcPr>
            <w:tcW w:w="1623" w:type="dxa"/>
            <w:vAlign w:val="center"/>
          </w:tcPr>
          <w:p>
            <w:pPr>
              <w:adjustRightInd w:val="0"/>
              <w:spacing w:line="240" w:lineRule="exact"/>
              <w:jc w:val="center"/>
              <w:rPr>
                <w:sz w:val="24"/>
                <w:szCs w:val="24"/>
              </w:rPr>
            </w:pPr>
            <w:r>
              <w:rPr>
                <w:sz w:val="24"/>
                <w:szCs w:val="24"/>
              </w:rPr>
              <w:t>110平方米/床</w:t>
            </w:r>
          </w:p>
        </w:tc>
        <w:tc>
          <w:tcPr>
            <w:tcW w:w="1452" w:type="dxa"/>
            <w:vAlign w:val="center"/>
          </w:tcPr>
          <w:p>
            <w:pPr>
              <w:adjustRightInd w:val="0"/>
              <w:spacing w:line="240" w:lineRule="exact"/>
              <w:rPr>
                <w:sz w:val="24"/>
                <w:szCs w:val="24"/>
              </w:rPr>
            </w:pPr>
            <w:r>
              <w:rPr>
                <w:rFonts w:hint="eastAsia"/>
                <w:sz w:val="24"/>
                <w:szCs w:val="24"/>
              </w:rPr>
              <w:t>每个区设置</w:t>
            </w:r>
            <w:r>
              <w:rPr>
                <w:sz w:val="24"/>
                <w:szCs w:val="24"/>
              </w:rPr>
              <w:t>1所妇幼健康服务机构</w:t>
            </w:r>
          </w:p>
        </w:tc>
        <w:tc>
          <w:tcPr>
            <w:tcW w:w="3700" w:type="dxa"/>
            <w:vAlign w:val="center"/>
          </w:tcPr>
          <w:p>
            <w:pPr>
              <w:adjustRightInd w:val="0"/>
              <w:spacing w:line="240" w:lineRule="exact"/>
              <w:rPr>
                <w:sz w:val="24"/>
                <w:szCs w:val="24"/>
              </w:rPr>
            </w:pPr>
            <w:r>
              <w:rPr>
                <w:rFonts w:hint="eastAsia"/>
                <w:sz w:val="24"/>
                <w:szCs w:val="24"/>
              </w:rPr>
              <w:t>地形规整，工程和水文地质条件较好；宜利用城市基础设施，交通便利；环境安静，远离污染源；应远离易燃、易爆物品的生产和储存区、高压线路及其设施。</w:t>
            </w:r>
          </w:p>
        </w:tc>
        <w:tc>
          <w:tcPr>
            <w:tcW w:w="3241" w:type="dxa"/>
            <w:vAlign w:val="center"/>
          </w:tcPr>
          <w:p>
            <w:pPr>
              <w:adjustRightInd w:val="0"/>
              <w:spacing w:line="240" w:lineRule="exact"/>
              <w:rPr>
                <w:sz w:val="24"/>
                <w:szCs w:val="24"/>
              </w:rPr>
            </w:pPr>
            <w:r>
              <w:rPr>
                <w:sz w:val="24"/>
                <w:szCs w:val="24"/>
              </w:rPr>
              <w:t>1.</w:t>
            </w:r>
            <w:r>
              <w:rPr>
                <w:rFonts w:hint="eastAsia"/>
                <w:sz w:val="24"/>
                <w:szCs w:val="24"/>
              </w:rPr>
              <w:t>《</w:t>
            </w:r>
            <w:r>
              <w:rPr>
                <w:rFonts w:hint="eastAsia"/>
                <w:sz w:val="24"/>
                <w:szCs w:val="24"/>
                <w:lang w:val="zh-TW" w:eastAsia="zh-TW"/>
              </w:rPr>
              <w:t>广东省医院基本现代建设标准</w:t>
            </w:r>
            <w:r>
              <w:rPr>
                <w:rFonts w:hint="eastAsia"/>
                <w:sz w:val="24"/>
                <w:szCs w:val="24"/>
              </w:rPr>
              <w:t>》</w:t>
            </w:r>
            <w:r>
              <w:rPr>
                <w:rFonts w:hint="eastAsia"/>
                <w:sz w:val="24"/>
                <w:szCs w:val="24"/>
                <w:lang w:val="zh-TW"/>
              </w:rPr>
              <w:t>（粤卫</w:t>
            </w:r>
            <w:r>
              <w:rPr>
                <w:rFonts w:hint="eastAsia"/>
                <w:sz w:val="24"/>
                <w:szCs w:val="24"/>
              </w:rPr>
              <w:t>〔</w:t>
            </w:r>
            <w:r>
              <w:rPr>
                <w:sz w:val="24"/>
                <w:szCs w:val="24"/>
              </w:rPr>
              <w:t>2003</w:t>
            </w:r>
            <w:r>
              <w:rPr>
                <w:rFonts w:hint="eastAsia"/>
                <w:sz w:val="24"/>
                <w:szCs w:val="24"/>
              </w:rPr>
              <w:t>〕</w:t>
            </w:r>
            <w:r>
              <w:rPr>
                <w:sz w:val="24"/>
                <w:szCs w:val="24"/>
              </w:rPr>
              <w:t>58号）</w:t>
            </w:r>
          </w:p>
          <w:p>
            <w:pPr>
              <w:adjustRightInd w:val="0"/>
              <w:spacing w:line="240" w:lineRule="exact"/>
              <w:rPr>
                <w:sz w:val="24"/>
                <w:szCs w:val="24"/>
              </w:rPr>
            </w:pPr>
            <w:r>
              <w:rPr>
                <w:sz w:val="24"/>
                <w:szCs w:val="24"/>
              </w:rPr>
              <w:t>2.</w:t>
            </w:r>
            <w:r>
              <w:rPr>
                <w:rFonts w:hint="eastAsia"/>
                <w:sz w:val="24"/>
                <w:szCs w:val="24"/>
              </w:rPr>
              <w:t>《</w:t>
            </w:r>
            <w:r>
              <w:rPr>
                <w:sz w:val="24"/>
                <w:szCs w:val="24"/>
              </w:rPr>
              <w:t>妇幼健康服务机构建设标准</w:t>
            </w:r>
            <w:r>
              <w:rPr>
                <w:rFonts w:hint="eastAsia"/>
                <w:sz w:val="24"/>
                <w:szCs w:val="24"/>
              </w:rPr>
              <w:t>》</w:t>
            </w:r>
            <w:r>
              <w:rPr>
                <w:sz w:val="24"/>
                <w:szCs w:val="24"/>
              </w:rPr>
              <w:t>（建标</w:t>
            </w:r>
            <w:r>
              <w:rPr>
                <w:rFonts w:hint="eastAsia"/>
                <w:sz w:val="24"/>
                <w:szCs w:val="24"/>
              </w:rPr>
              <w:t>〔</w:t>
            </w:r>
            <w:r>
              <w:rPr>
                <w:sz w:val="24"/>
                <w:szCs w:val="24"/>
              </w:rPr>
              <w:t>20</w:t>
            </w:r>
            <w:r>
              <w:rPr>
                <w:rFonts w:hint="eastAsia"/>
                <w:sz w:val="24"/>
                <w:szCs w:val="24"/>
              </w:rPr>
              <w:t>17〕</w:t>
            </w:r>
            <w:r>
              <w:rPr>
                <w:sz w:val="24"/>
                <w:szCs w:val="24"/>
              </w:rPr>
              <w:t>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jc w:val="center"/>
        </w:trPr>
        <w:tc>
          <w:tcPr>
            <w:tcW w:w="1518" w:type="dxa"/>
            <w:vAlign w:val="center"/>
          </w:tcPr>
          <w:p>
            <w:pPr>
              <w:adjustRightInd w:val="0"/>
              <w:spacing w:line="240" w:lineRule="exact"/>
              <w:jc w:val="center"/>
              <w:rPr>
                <w:sz w:val="24"/>
                <w:szCs w:val="24"/>
              </w:rPr>
            </w:pPr>
            <w:r>
              <w:rPr>
                <w:rFonts w:hint="eastAsia"/>
                <w:sz w:val="24"/>
                <w:szCs w:val="24"/>
              </w:rPr>
              <w:t>医疗卫生</w:t>
            </w:r>
          </w:p>
          <w:p>
            <w:pPr>
              <w:adjustRightInd w:val="0"/>
              <w:spacing w:line="240" w:lineRule="exact"/>
              <w:jc w:val="center"/>
              <w:rPr>
                <w:sz w:val="24"/>
                <w:szCs w:val="24"/>
              </w:rPr>
            </w:pPr>
            <w:r>
              <w:rPr>
                <w:rFonts w:hint="eastAsia"/>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公共卫生临床</w:t>
            </w:r>
          </w:p>
          <w:p>
            <w:pPr>
              <w:adjustRightInd w:val="0"/>
              <w:spacing w:line="240" w:lineRule="exact"/>
              <w:jc w:val="center"/>
              <w:rPr>
                <w:sz w:val="24"/>
                <w:szCs w:val="24"/>
              </w:rPr>
            </w:pPr>
            <w:r>
              <w:rPr>
                <w:rFonts w:hint="eastAsia"/>
                <w:sz w:val="24"/>
                <w:szCs w:val="24"/>
              </w:rPr>
              <w:t>中心</w:t>
            </w:r>
          </w:p>
        </w:tc>
        <w:tc>
          <w:tcPr>
            <w:tcW w:w="1389" w:type="dxa"/>
            <w:vAlign w:val="center"/>
          </w:tcPr>
          <w:p>
            <w:pPr>
              <w:adjustRightInd w:val="0"/>
              <w:spacing w:line="240" w:lineRule="exact"/>
              <w:jc w:val="center"/>
              <w:rPr>
                <w:sz w:val="24"/>
                <w:szCs w:val="24"/>
              </w:rPr>
            </w:pPr>
            <w:r>
              <w:rPr>
                <w:sz w:val="24"/>
                <w:szCs w:val="24"/>
              </w:rPr>
              <w:t>130平方米/床</w:t>
            </w:r>
          </w:p>
        </w:tc>
        <w:tc>
          <w:tcPr>
            <w:tcW w:w="1623" w:type="dxa"/>
            <w:vAlign w:val="center"/>
          </w:tcPr>
          <w:p>
            <w:pPr>
              <w:adjustRightInd w:val="0"/>
              <w:spacing w:line="240" w:lineRule="exact"/>
              <w:jc w:val="center"/>
              <w:rPr>
                <w:sz w:val="24"/>
                <w:szCs w:val="24"/>
              </w:rPr>
            </w:pPr>
            <w:r>
              <w:rPr>
                <w:sz w:val="24"/>
                <w:szCs w:val="24"/>
              </w:rPr>
              <w:t>120平方米/床</w:t>
            </w:r>
          </w:p>
        </w:tc>
        <w:tc>
          <w:tcPr>
            <w:tcW w:w="1452" w:type="dxa"/>
            <w:vAlign w:val="center"/>
          </w:tcPr>
          <w:p>
            <w:pPr>
              <w:adjustRightInd w:val="0"/>
              <w:spacing w:line="240" w:lineRule="exact"/>
              <w:jc w:val="center"/>
              <w:rPr>
                <w:sz w:val="24"/>
                <w:szCs w:val="24"/>
              </w:rPr>
            </w:pPr>
            <w:r>
              <w:rPr>
                <w:rFonts w:hint="eastAsia"/>
                <w:sz w:val="24"/>
                <w:szCs w:val="24"/>
              </w:rPr>
              <w:t>每个区设置</w:t>
            </w:r>
            <w:r>
              <w:rPr>
                <w:sz w:val="24"/>
                <w:szCs w:val="24"/>
              </w:rPr>
              <w:t>1所公共卫生临床中心</w:t>
            </w:r>
          </w:p>
        </w:tc>
        <w:tc>
          <w:tcPr>
            <w:tcW w:w="3700" w:type="dxa"/>
            <w:vAlign w:val="center"/>
          </w:tcPr>
          <w:p>
            <w:pPr>
              <w:adjustRightInd w:val="0"/>
              <w:spacing w:line="240" w:lineRule="exact"/>
              <w:rPr>
                <w:sz w:val="24"/>
                <w:szCs w:val="24"/>
              </w:rPr>
            </w:pPr>
            <w:r>
              <w:rPr>
                <w:rFonts w:hint="eastAsia"/>
                <w:sz w:val="24"/>
                <w:szCs w:val="24"/>
              </w:rPr>
              <w:t>地形规整，工程和水文地质条件较好；宜利用城市基础设施，交通便利；环境安静，远离污染源；应远离易燃、易爆物品的生产和储存区、高压线路及其设施。不宜在人口密集区域。</w:t>
            </w:r>
          </w:p>
        </w:tc>
        <w:tc>
          <w:tcPr>
            <w:tcW w:w="3241" w:type="dxa"/>
            <w:vAlign w:val="center"/>
          </w:tcPr>
          <w:p>
            <w:pPr>
              <w:adjustRightInd w:val="0"/>
              <w:spacing w:line="240" w:lineRule="exact"/>
              <w:rPr>
                <w:sz w:val="24"/>
                <w:szCs w:val="24"/>
              </w:rPr>
            </w:pPr>
            <w:r>
              <w:rPr>
                <w:rFonts w:hint="eastAsia"/>
                <w:sz w:val="24"/>
                <w:szCs w:val="24"/>
              </w:rPr>
              <w:t>1.《广东省市级、县级公共卫生临床中心基本建设标准》（</w:t>
            </w:r>
          </w:p>
          <w:p>
            <w:pPr>
              <w:adjustRightInd w:val="0"/>
              <w:spacing w:line="240" w:lineRule="exact"/>
              <w:rPr>
                <w:sz w:val="24"/>
                <w:szCs w:val="24"/>
              </w:rPr>
            </w:pPr>
            <w:r>
              <w:rPr>
                <w:rFonts w:hint="eastAsia"/>
                <w:sz w:val="24"/>
                <w:szCs w:val="24"/>
              </w:rPr>
              <w:t>2.《传染病医院建设标准》（建标</w:t>
            </w:r>
            <w:r>
              <w:rPr>
                <w:sz w:val="24"/>
                <w:szCs w:val="24"/>
              </w:rPr>
              <w:t>173-2016）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文化体育</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市级博物馆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&gt;</w:t>
            </w:r>
            <w:r>
              <w:rPr>
                <w:rFonts w:hint="eastAsia"/>
                <w:sz w:val="24"/>
                <w:szCs w:val="24"/>
              </w:rPr>
              <w:t>10000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宜独立用地。选址应符合城市规划和文化设施布局要求，交通便利、配套设施完备。建筑密度不应超过</w:t>
            </w:r>
            <w:r>
              <w:rPr>
                <w:sz w:val="24"/>
                <w:szCs w:val="24"/>
              </w:rPr>
              <w:t>40%</w:t>
            </w:r>
            <w:r>
              <w:rPr>
                <w:rFonts w:hint="eastAsia"/>
                <w:sz w:val="24"/>
                <w:szCs w:val="24"/>
              </w:rPr>
              <w:t>，观众出入口应设有供观众集散的空地。</w:t>
            </w:r>
            <w:r>
              <w:rPr>
                <w:rFonts w:hint="eastAsia" w:ascii="仿宋_GB2312"/>
                <w:sz w:val="24"/>
                <w:szCs w:val="24"/>
              </w:rPr>
              <w:t>应符合国家现行有关安全、卫生、环境保护标准规范。</w:t>
            </w:r>
          </w:p>
        </w:tc>
        <w:tc>
          <w:tcPr>
            <w:tcW w:w="3241" w:type="dxa"/>
            <w:vAlign w:val="center"/>
          </w:tcPr>
          <w:p>
            <w:pPr>
              <w:adjustRightInd w:val="0"/>
              <w:spacing w:line="240" w:lineRule="exact"/>
              <w:rPr>
                <w:sz w:val="24"/>
                <w:szCs w:val="24"/>
              </w:rPr>
            </w:pPr>
            <w:r>
              <w:rPr>
                <w:rFonts w:hint="eastAsia"/>
                <w:sz w:val="24"/>
                <w:szCs w:val="24"/>
              </w:rPr>
              <w:t>1</w:t>
            </w:r>
            <w:r>
              <w:rPr>
                <w:sz w:val="24"/>
                <w:szCs w:val="24"/>
              </w:rPr>
              <w:t>.</w:t>
            </w:r>
            <w:r>
              <w:rPr>
                <w:rFonts w:hint="eastAsia"/>
                <w:sz w:val="24"/>
                <w:szCs w:val="24"/>
              </w:rPr>
              <w:t>《博物馆建筑设计规范（</w:t>
            </w:r>
            <w:r>
              <w:rPr>
                <w:sz w:val="24"/>
                <w:szCs w:val="24"/>
              </w:rPr>
              <w:t>JGJ 66-2015</w:t>
            </w:r>
            <w:r>
              <w:rPr>
                <w:rFonts w:hint="eastAsia"/>
                <w:sz w:val="24"/>
                <w:szCs w:val="24"/>
              </w:rPr>
              <w:t>）》</w:t>
            </w:r>
          </w:p>
          <w:p>
            <w:pPr>
              <w:adjustRightInd w:val="0"/>
              <w:spacing w:line="240" w:lineRule="exact"/>
              <w:rPr>
                <w:sz w:val="24"/>
                <w:szCs w:val="24"/>
              </w:rPr>
            </w:pPr>
            <w:r>
              <w:rPr>
                <w:rFonts w:hint="eastAsia"/>
                <w:sz w:val="24"/>
                <w:szCs w:val="24"/>
              </w:rPr>
              <w:t>2</w:t>
            </w:r>
            <w:r>
              <w:rPr>
                <w:sz w:val="24"/>
                <w:szCs w:val="24"/>
              </w:rPr>
              <w:t>.</w:t>
            </w:r>
            <w:r>
              <w:rPr>
                <w:rFonts w:hint="eastAsia"/>
                <w:sz w:val="24"/>
                <w:szCs w:val="24"/>
                <w:lang w:val="zh-CN"/>
              </w:rPr>
              <w:t>《广州市博物馆规定》（广州市第十五届人民代表大会常务委员会公告第</w:t>
            </w:r>
            <w:r>
              <w:rPr>
                <w:rFonts w:hint="eastAsia"/>
                <w:sz w:val="24"/>
                <w:szCs w:val="24"/>
              </w:rPr>
              <w:t>8号</w:t>
            </w:r>
            <w:r>
              <w:rPr>
                <w:rFonts w:hint="eastAsia"/>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市级图书馆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rFonts w:hint="eastAsia"/>
                <w:sz w:val="24"/>
                <w:szCs w:val="24"/>
              </w:rPr>
              <w:t>16000-60000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独立用地。应当设置单独的少年儿童阅览区域，其面积应当不低于全馆借阅服务区域面积的2</w:t>
            </w:r>
            <w:r>
              <w:rPr>
                <w:sz w:val="24"/>
                <w:szCs w:val="24"/>
              </w:rPr>
              <w:t>0</w:t>
            </w:r>
            <w:r>
              <w:rPr>
                <w:rFonts w:hint="eastAsia"/>
                <w:sz w:val="24"/>
                <w:szCs w:val="24"/>
              </w:rPr>
              <w:t>%。</w:t>
            </w:r>
          </w:p>
        </w:tc>
        <w:tc>
          <w:tcPr>
            <w:tcW w:w="3241" w:type="dxa"/>
            <w:vAlign w:val="center"/>
          </w:tcPr>
          <w:p>
            <w:pPr>
              <w:adjustRightInd w:val="0"/>
              <w:spacing w:line="240" w:lineRule="exact"/>
              <w:rPr>
                <w:sz w:val="24"/>
                <w:szCs w:val="24"/>
              </w:rPr>
            </w:pPr>
            <w:r>
              <w:rPr>
                <w:rFonts w:hint="eastAsia"/>
                <w:sz w:val="24"/>
                <w:szCs w:val="24"/>
              </w:rPr>
              <w:t>《公共图书馆建设标准（建标108-2008）》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市级文化馆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&gt;</w:t>
            </w:r>
            <w:r>
              <w:rPr>
                <w:rFonts w:hint="eastAsia"/>
                <w:sz w:val="24"/>
                <w:szCs w:val="24"/>
              </w:rPr>
              <w:t>6000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宜独立用地。应当设大型排练厅（400-600座）、多功能厅（小型排练、报告）、展览厅（陈列厅）、宣传廊、大教室（80人/班）、小教室（40人/班）、计算机与网络教室、多媒体视听教室、舞蹈（综合）排练室、独立学习室（音乐、书法、美术、曲艺等，≤30人/班）、阅览室、资料档案室、书报储存室、儿童活动室、老人活动室等。</w:t>
            </w:r>
          </w:p>
        </w:tc>
        <w:tc>
          <w:tcPr>
            <w:tcW w:w="3241" w:type="dxa"/>
            <w:vAlign w:val="center"/>
          </w:tcPr>
          <w:p>
            <w:pPr>
              <w:adjustRightInd w:val="0"/>
              <w:spacing w:line="240" w:lineRule="exact"/>
              <w:rPr>
                <w:sz w:val="24"/>
                <w:szCs w:val="24"/>
              </w:rPr>
            </w:pPr>
            <w:r>
              <w:rPr>
                <w:rFonts w:hint="eastAsia"/>
                <w:sz w:val="24"/>
                <w:szCs w:val="24"/>
              </w:rPr>
              <w:t>《文化馆建设标准》（建标136-2020）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文化体育</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市级体育馆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restart"/>
            <w:vAlign w:val="center"/>
          </w:tcPr>
          <w:p>
            <w:pPr>
              <w:spacing w:line="240" w:lineRule="exact"/>
            </w:pPr>
          </w:p>
          <w:p>
            <w:pPr>
              <w:spacing w:line="240" w:lineRule="exact"/>
            </w:pPr>
          </w:p>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sz w:val="24"/>
                <w:szCs w:val="24"/>
              </w:rPr>
              <w:t>能开展多项大型室内体育运动</w:t>
            </w:r>
            <w:r>
              <w:rPr>
                <w:rFonts w:hint="eastAsia"/>
                <w:sz w:val="24"/>
                <w:szCs w:val="24"/>
              </w:rPr>
              <w:t>比赛和练习，</w:t>
            </w:r>
            <w:r>
              <w:rPr>
                <w:sz w:val="24"/>
                <w:szCs w:val="24"/>
              </w:rPr>
              <w:t>可进行大中型文化活动</w:t>
            </w:r>
            <w:r>
              <w:rPr>
                <w:rFonts w:hint="eastAsia"/>
                <w:sz w:val="24"/>
                <w:szCs w:val="24"/>
              </w:rPr>
              <w:t>，兼顾应急避难场所功能。按照专项规划和行业规范，结合用地情况落实。</w:t>
            </w:r>
          </w:p>
        </w:tc>
        <w:tc>
          <w:tcPr>
            <w:tcW w:w="3241" w:type="dxa"/>
            <w:vMerge w:val="restart"/>
            <w:vAlign w:val="center"/>
          </w:tcPr>
          <w:p>
            <w:pPr>
              <w:adjustRightInd w:val="0"/>
              <w:spacing w:line="240" w:lineRule="exact"/>
              <w:rPr>
                <w:sz w:val="24"/>
                <w:szCs w:val="24"/>
              </w:rPr>
            </w:pPr>
            <w:r>
              <w:rPr>
                <w:rFonts w:hint="eastAsia"/>
                <w:sz w:val="24"/>
                <w:szCs w:val="24"/>
              </w:rPr>
              <w:t>《广州市人民政府办公厅关于印发广州市创建全民运动健身模范市工作规划和实施方案的通知》（穗府办函〔</w:t>
            </w:r>
            <w:r>
              <w:rPr>
                <w:sz w:val="24"/>
                <w:szCs w:val="24"/>
              </w:rPr>
              <w:t>2018</w:t>
            </w:r>
            <w:r>
              <w:rPr>
                <w:rFonts w:hint="eastAsia"/>
                <w:sz w:val="24"/>
                <w:szCs w:val="24"/>
              </w:rPr>
              <w:t>〕</w:t>
            </w:r>
            <w:r>
              <w:rPr>
                <w:sz w:val="24"/>
                <w:szCs w:val="24"/>
              </w:rPr>
              <w:t>176</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jc w:val="center"/>
        </w:trPr>
        <w:tc>
          <w:tcPr>
            <w:tcW w:w="1518" w:type="dxa"/>
            <w:vMerge w:val="continue"/>
            <w:vAlign w:val="center"/>
          </w:tcPr>
          <w:p>
            <w:pPr>
              <w:adjustRightInd w:val="0"/>
              <w:spacing w:line="240" w:lineRule="exact"/>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市级体育场</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continue"/>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sz w:val="24"/>
                <w:szCs w:val="24"/>
              </w:rPr>
              <w:t>能开展大型田径、足球运动等比赛和练习</w:t>
            </w:r>
            <w:r>
              <w:rPr>
                <w:rFonts w:hint="eastAsia"/>
                <w:sz w:val="24"/>
                <w:szCs w:val="24"/>
              </w:rPr>
              <w:t>，</w:t>
            </w:r>
            <w:r>
              <w:rPr>
                <w:sz w:val="24"/>
                <w:szCs w:val="24"/>
              </w:rPr>
              <w:t>可进行大中型文化活动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2" w:hRule="atLeast"/>
          <w:jc w:val="center"/>
        </w:trPr>
        <w:tc>
          <w:tcPr>
            <w:tcW w:w="1518" w:type="dxa"/>
            <w:vMerge w:val="continue"/>
            <w:vAlign w:val="center"/>
          </w:tcPr>
          <w:p>
            <w:pPr>
              <w:adjustRightInd w:val="0"/>
              <w:spacing w:line="240" w:lineRule="exact"/>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市级游泳馆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continue"/>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能开展游泳、跳水、水球和花样游泳等室内比赛和练习，</w:t>
            </w:r>
            <w:r>
              <w:rPr>
                <w:sz w:val="24"/>
                <w:szCs w:val="24"/>
              </w:rPr>
              <w:t>可进行大中型文化活动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大型全民健身活动中心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continue"/>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sz w:val="24"/>
                <w:szCs w:val="24"/>
              </w:rPr>
              <w:t>能开展多项群众体育运动和小</w:t>
            </w:r>
            <w:r>
              <w:rPr>
                <w:rFonts w:hint="eastAsia"/>
                <w:sz w:val="24"/>
                <w:szCs w:val="24"/>
              </w:rPr>
              <w:t>型体育比赛。</w:t>
            </w:r>
            <w:r>
              <w:rPr>
                <w:sz w:val="24"/>
                <w:szCs w:val="24"/>
              </w:rPr>
              <w:t>可进行大中型文化活动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区级图书馆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rFonts w:hint="eastAsia"/>
                <w:sz w:val="24"/>
                <w:szCs w:val="24"/>
              </w:rPr>
              <w:t>7500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应当设置单独的少年儿童阅览区域，其面积应当不低于全馆借阅服务区域面积的</w:t>
            </w:r>
            <w:r>
              <w:rPr>
                <w:sz w:val="24"/>
                <w:szCs w:val="24"/>
              </w:rPr>
              <w:t>20%</w:t>
            </w:r>
            <w:r>
              <w:rPr>
                <w:rFonts w:hint="eastAsia"/>
                <w:sz w:val="24"/>
                <w:szCs w:val="24"/>
              </w:rPr>
              <w:t>。</w:t>
            </w:r>
          </w:p>
        </w:tc>
        <w:tc>
          <w:tcPr>
            <w:tcW w:w="3241" w:type="dxa"/>
            <w:vAlign w:val="center"/>
          </w:tcPr>
          <w:p>
            <w:pPr>
              <w:adjustRightInd w:val="0"/>
              <w:spacing w:line="240" w:lineRule="exact"/>
              <w:rPr>
                <w:sz w:val="24"/>
                <w:szCs w:val="24"/>
              </w:rPr>
            </w:pPr>
            <w:r>
              <w:rPr>
                <w:rFonts w:hint="eastAsia"/>
                <w:sz w:val="24"/>
                <w:szCs w:val="24"/>
              </w:rPr>
              <w:t>《公共图书馆建设标准（建标</w:t>
            </w:r>
            <w:r>
              <w:rPr>
                <w:sz w:val="24"/>
                <w:szCs w:val="24"/>
              </w:rPr>
              <w:t>108-2008</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1"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文化体育</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区级文化馆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r>
              <w:rPr>
                <w:sz w:val="24"/>
                <w:szCs w:val="24"/>
              </w:rPr>
              <w:t>5000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应当设大型排练厅（</w:t>
            </w:r>
            <w:r>
              <w:rPr>
                <w:sz w:val="24"/>
                <w:szCs w:val="24"/>
              </w:rPr>
              <w:t>400-600</w:t>
            </w:r>
            <w:r>
              <w:rPr>
                <w:rFonts w:hint="eastAsia"/>
                <w:sz w:val="24"/>
                <w:szCs w:val="24"/>
              </w:rPr>
              <w:t>座）、多功能厅（小型排练、报告）、展览厅（陈列厅）、宣传廊、大教室（</w:t>
            </w:r>
            <w:r>
              <w:rPr>
                <w:sz w:val="24"/>
                <w:szCs w:val="24"/>
              </w:rPr>
              <w:t>80</w:t>
            </w:r>
            <w:r>
              <w:rPr>
                <w:rFonts w:hint="eastAsia"/>
                <w:sz w:val="24"/>
                <w:szCs w:val="24"/>
              </w:rPr>
              <w:t>人</w:t>
            </w:r>
            <w:r>
              <w:rPr>
                <w:sz w:val="24"/>
                <w:szCs w:val="24"/>
              </w:rPr>
              <w:t>/</w:t>
            </w:r>
            <w:r>
              <w:rPr>
                <w:rFonts w:hint="eastAsia"/>
                <w:sz w:val="24"/>
                <w:szCs w:val="24"/>
              </w:rPr>
              <w:t>班）、小教室（</w:t>
            </w:r>
            <w:r>
              <w:rPr>
                <w:sz w:val="24"/>
                <w:szCs w:val="24"/>
              </w:rPr>
              <w:t>40</w:t>
            </w:r>
            <w:r>
              <w:rPr>
                <w:rFonts w:hint="eastAsia"/>
                <w:sz w:val="24"/>
                <w:szCs w:val="24"/>
              </w:rPr>
              <w:t>人</w:t>
            </w:r>
            <w:r>
              <w:rPr>
                <w:sz w:val="24"/>
                <w:szCs w:val="24"/>
              </w:rPr>
              <w:t>/</w:t>
            </w:r>
            <w:r>
              <w:rPr>
                <w:rFonts w:hint="eastAsia"/>
                <w:sz w:val="24"/>
                <w:szCs w:val="24"/>
              </w:rPr>
              <w:t>班）、计算机与网络教室、多媒体视听教室、舞蹈（综合）排练室、独立学习室（音乐、书法、美术、曲艺等，≤</w:t>
            </w:r>
            <w:r>
              <w:rPr>
                <w:sz w:val="24"/>
                <w:szCs w:val="24"/>
              </w:rPr>
              <w:t>30</w:t>
            </w:r>
            <w:r>
              <w:rPr>
                <w:rFonts w:hint="eastAsia"/>
                <w:sz w:val="24"/>
                <w:szCs w:val="24"/>
              </w:rPr>
              <w:t>人</w:t>
            </w:r>
            <w:r>
              <w:rPr>
                <w:sz w:val="24"/>
                <w:szCs w:val="24"/>
              </w:rPr>
              <w:t>/</w:t>
            </w:r>
            <w:r>
              <w:rPr>
                <w:rFonts w:hint="eastAsia"/>
                <w:sz w:val="24"/>
                <w:szCs w:val="24"/>
              </w:rPr>
              <w:t>班）、阅览室、资料档案室、书报储存室、儿童活动室、老人活动室等。</w:t>
            </w:r>
          </w:p>
        </w:tc>
        <w:tc>
          <w:tcPr>
            <w:tcW w:w="3241" w:type="dxa"/>
            <w:vAlign w:val="center"/>
          </w:tcPr>
          <w:p>
            <w:pPr>
              <w:adjustRightInd w:val="0"/>
              <w:spacing w:line="240" w:lineRule="exact"/>
              <w:rPr>
                <w:sz w:val="24"/>
                <w:szCs w:val="24"/>
              </w:rPr>
            </w:pPr>
            <w:r>
              <w:rPr>
                <w:rFonts w:hint="eastAsia"/>
                <w:sz w:val="24"/>
                <w:szCs w:val="24"/>
              </w:rPr>
              <w:t>1.《县级（县级市、副省级城市所辖区县）文化馆等级必备条件和评估标准》（粤文旅公</w:t>
            </w:r>
            <w:r>
              <w:rPr>
                <w:rFonts w:hint="eastAsia" w:ascii="仿宋_GB2312" w:hAnsi="仿宋_GB2312" w:cs="仿宋_GB2312"/>
                <w:sz w:val="24"/>
                <w:szCs w:val="24"/>
              </w:rPr>
              <w:t>〔</w:t>
            </w:r>
            <w:r>
              <w:rPr>
                <w:rFonts w:hint="eastAsia"/>
                <w:sz w:val="24"/>
                <w:szCs w:val="24"/>
              </w:rPr>
              <w:t>2020</w:t>
            </w:r>
            <w:r>
              <w:rPr>
                <w:rFonts w:hint="eastAsia" w:ascii="仿宋_GB2312" w:hAnsi="仿宋_GB2312" w:cs="仿宋_GB2312"/>
                <w:sz w:val="24"/>
                <w:szCs w:val="24"/>
              </w:rPr>
              <w:t>〕</w:t>
            </w:r>
            <w:r>
              <w:rPr>
                <w:rFonts w:hint="eastAsia"/>
                <w:sz w:val="24"/>
                <w:szCs w:val="24"/>
              </w:rPr>
              <w:t>41号）</w:t>
            </w:r>
          </w:p>
          <w:p>
            <w:pPr>
              <w:adjustRightInd w:val="0"/>
              <w:spacing w:line="240" w:lineRule="exact"/>
              <w:rPr>
                <w:sz w:val="24"/>
                <w:szCs w:val="24"/>
              </w:rPr>
            </w:pPr>
            <w:r>
              <w:rPr>
                <w:rFonts w:hint="eastAsia"/>
                <w:sz w:val="24"/>
                <w:szCs w:val="24"/>
              </w:rPr>
              <w:t>2.《广州市文化广电旅游局印发广州市文化馆、站（室）服务规范的通知》（穗文广旅规字</w:t>
            </w:r>
            <w:r>
              <w:rPr>
                <w:rFonts w:hint="eastAsia" w:ascii="仿宋_GB2312" w:hAnsi="仿宋_GB2312" w:cs="仿宋_GB2312"/>
                <w:sz w:val="24"/>
                <w:szCs w:val="24"/>
              </w:rPr>
              <w:t>〔</w:t>
            </w:r>
            <w:r>
              <w:rPr>
                <w:rFonts w:hint="eastAsia"/>
                <w:sz w:val="24"/>
                <w:szCs w:val="24"/>
              </w:rPr>
              <w:t>2020</w:t>
            </w:r>
            <w:r>
              <w:rPr>
                <w:rFonts w:hint="eastAsia" w:ascii="仿宋_GB2312" w:hAnsi="仿宋_GB2312" w:cs="仿宋_GB2312"/>
                <w:sz w:val="24"/>
                <w:szCs w:val="24"/>
              </w:rPr>
              <w:t>〕</w:t>
            </w:r>
            <w:r>
              <w:rPr>
                <w:rFonts w:hint="eastAsia"/>
                <w:sz w:val="24"/>
                <w:szCs w:val="24"/>
              </w:rPr>
              <w:t>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lang w:val="zh-CN"/>
              </w:rPr>
              <w:t>区级博物馆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lang w:val="zh-CN"/>
              </w:rPr>
            </w:pPr>
            <w:r>
              <w:rPr>
                <w:rFonts w:hint="eastAsia"/>
                <w:sz w:val="24"/>
                <w:szCs w:val="24"/>
              </w:rPr>
              <w:t>4</w:t>
            </w:r>
            <w:r>
              <w:rPr>
                <w:sz w:val="24"/>
                <w:szCs w:val="24"/>
                <w:lang w:val="zh-CN"/>
              </w:rPr>
              <w:t>000-</w:t>
            </w:r>
          </w:p>
          <w:p>
            <w:pPr>
              <w:adjustRightInd w:val="0"/>
              <w:spacing w:line="240" w:lineRule="exact"/>
              <w:jc w:val="center"/>
              <w:rPr>
                <w:sz w:val="24"/>
                <w:szCs w:val="24"/>
              </w:rPr>
            </w:pPr>
            <w:r>
              <w:rPr>
                <w:rFonts w:hint="eastAsia"/>
                <w:sz w:val="24"/>
                <w:szCs w:val="24"/>
              </w:rPr>
              <w:t>1</w:t>
            </w:r>
            <w:r>
              <w:rPr>
                <w:sz w:val="24"/>
                <w:szCs w:val="24"/>
                <w:lang w:val="zh-CN"/>
              </w:rPr>
              <w:t>0000</w:t>
            </w: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lang w:val="zh-CN"/>
              </w:rPr>
              <w:t>选址应符合城市规划和文化设施布局要求，交通便利，配套设施完备。建筑密度不应超过</w:t>
            </w:r>
            <w:r>
              <w:rPr>
                <w:sz w:val="24"/>
                <w:szCs w:val="24"/>
                <w:lang w:val="zh-CN"/>
              </w:rPr>
              <w:t>40%</w:t>
            </w:r>
            <w:r>
              <w:rPr>
                <w:rFonts w:hint="eastAsia"/>
                <w:sz w:val="24"/>
                <w:szCs w:val="24"/>
                <w:lang w:val="zh-CN"/>
              </w:rPr>
              <w:t>，观众出入口应设有供观众集散的空地。</w:t>
            </w:r>
            <w:r>
              <w:rPr>
                <w:rFonts w:hint="eastAsia" w:ascii="仿宋_GB2312"/>
                <w:sz w:val="24"/>
                <w:szCs w:val="24"/>
              </w:rPr>
              <w:t>应符合国家现行有关安全、卫生、环境保护标准规范。</w:t>
            </w:r>
          </w:p>
        </w:tc>
        <w:tc>
          <w:tcPr>
            <w:tcW w:w="3241" w:type="dxa"/>
            <w:vAlign w:val="center"/>
          </w:tcPr>
          <w:p>
            <w:pPr>
              <w:adjustRightInd w:val="0"/>
              <w:spacing w:line="240" w:lineRule="exact"/>
              <w:rPr>
                <w:sz w:val="24"/>
                <w:szCs w:val="24"/>
                <w:lang w:val="zh-CN"/>
              </w:rPr>
            </w:pPr>
            <w:r>
              <w:rPr>
                <w:sz w:val="24"/>
                <w:szCs w:val="24"/>
                <w:lang w:val="zh-CN"/>
              </w:rPr>
              <w:t>1.</w:t>
            </w:r>
            <w:r>
              <w:rPr>
                <w:rFonts w:hint="eastAsia"/>
                <w:sz w:val="24"/>
                <w:szCs w:val="24"/>
                <w:lang w:val="zh-CN"/>
              </w:rPr>
              <w:t>《博物馆建筑设计规范》（</w:t>
            </w:r>
            <w:r>
              <w:rPr>
                <w:sz w:val="24"/>
                <w:szCs w:val="24"/>
                <w:lang w:val="zh-CN"/>
              </w:rPr>
              <w:t>JGJ 66-2015</w:t>
            </w:r>
            <w:r>
              <w:rPr>
                <w:rFonts w:hint="eastAsia"/>
                <w:sz w:val="24"/>
                <w:szCs w:val="24"/>
                <w:lang w:val="zh-CN"/>
              </w:rPr>
              <w:t>）</w:t>
            </w:r>
          </w:p>
          <w:p>
            <w:pPr>
              <w:adjustRightInd w:val="0"/>
              <w:spacing w:line="240" w:lineRule="exact"/>
              <w:rPr>
                <w:sz w:val="24"/>
                <w:szCs w:val="24"/>
              </w:rPr>
            </w:pPr>
            <w:r>
              <w:rPr>
                <w:sz w:val="24"/>
                <w:szCs w:val="24"/>
                <w:lang w:val="zh-CN"/>
              </w:rPr>
              <w:t>2.</w:t>
            </w:r>
            <w:r>
              <w:rPr>
                <w:rFonts w:hint="eastAsia"/>
                <w:sz w:val="24"/>
                <w:szCs w:val="24"/>
                <w:lang w:val="zh-CN"/>
              </w:rPr>
              <w:t>《广州市博物馆规定》（广州市第十五届人民代表大会常务委员会公告第</w:t>
            </w:r>
            <w:r>
              <w:rPr>
                <w:rFonts w:hint="eastAsia"/>
                <w:sz w:val="24"/>
                <w:szCs w:val="24"/>
              </w:rPr>
              <w:t>8号</w:t>
            </w:r>
            <w:r>
              <w:rPr>
                <w:rFonts w:hint="eastAsia"/>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行政区级体育</w:t>
            </w:r>
          </w:p>
          <w:p>
            <w:pPr>
              <w:adjustRightInd w:val="0"/>
              <w:spacing w:line="240" w:lineRule="exact"/>
              <w:jc w:val="center"/>
              <w:rPr>
                <w:sz w:val="24"/>
                <w:szCs w:val="24"/>
              </w:rPr>
            </w:pPr>
            <w:r>
              <w:rPr>
                <w:rFonts w:hint="eastAsia"/>
                <w:sz w:val="24"/>
                <w:szCs w:val="24"/>
              </w:rPr>
              <w:t>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spacing w:line="240" w:lineRule="exact"/>
            </w:pPr>
          </w:p>
          <w:p>
            <w:pPr>
              <w:spacing w:line="240" w:lineRule="exact"/>
            </w:pPr>
          </w:p>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到</w:t>
            </w:r>
            <w:r>
              <w:rPr>
                <w:sz w:val="24"/>
                <w:szCs w:val="24"/>
              </w:rPr>
              <w:t>2035</w:t>
            </w:r>
            <w:r>
              <w:rPr>
                <w:rFonts w:hint="eastAsia"/>
                <w:sz w:val="24"/>
                <w:szCs w:val="24"/>
              </w:rPr>
              <w:t>年，每区至少建成一处区级全民健身中心。按照专项规划和行业规范，结合用地情况落实。</w:t>
            </w:r>
          </w:p>
        </w:tc>
        <w:tc>
          <w:tcPr>
            <w:tcW w:w="3241" w:type="dxa"/>
            <w:vMerge w:val="restart"/>
            <w:vAlign w:val="center"/>
          </w:tcPr>
          <w:p>
            <w:pPr>
              <w:adjustRightInd w:val="0"/>
              <w:spacing w:line="240" w:lineRule="exact"/>
              <w:rPr>
                <w:sz w:val="24"/>
                <w:szCs w:val="24"/>
              </w:rPr>
            </w:pPr>
            <w:r>
              <w:rPr>
                <w:rFonts w:hint="eastAsia"/>
                <w:sz w:val="24"/>
                <w:szCs w:val="24"/>
              </w:rPr>
              <w:t>《广州市人民政府办公厅关于印发广州市创建全民运动健身模范市工作规划和实施方案的通知》（穗府办函〔</w:t>
            </w:r>
            <w:r>
              <w:rPr>
                <w:sz w:val="24"/>
                <w:szCs w:val="24"/>
              </w:rPr>
              <w:t>2018</w:t>
            </w:r>
            <w:r>
              <w:rPr>
                <w:rFonts w:hint="eastAsia"/>
                <w:sz w:val="24"/>
                <w:szCs w:val="24"/>
              </w:rPr>
              <w:t>〕</w:t>
            </w:r>
            <w:r>
              <w:rPr>
                <w:sz w:val="24"/>
                <w:szCs w:val="24"/>
              </w:rPr>
              <w:t>176</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区级体育馆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restart"/>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能开展多项大型室内体育运动比赛和练习，</w:t>
            </w:r>
            <w:r>
              <w:rPr>
                <w:sz w:val="24"/>
                <w:szCs w:val="24"/>
              </w:rPr>
              <w:t>可进行大中型文化活动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文化体育</w:t>
            </w:r>
          </w:p>
          <w:p>
            <w:pPr>
              <w:adjustRightInd w:val="0"/>
              <w:spacing w:line="240" w:lineRule="exact"/>
              <w:jc w:val="center"/>
              <w:rPr>
                <w:sz w:val="24"/>
                <w:szCs w:val="24"/>
              </w:rPr>
            </w:pPr>
            <w:r>
              <w:rPr>
                <w:sz w:val="24"/>
                <w:szCs w:val="24"/>
              </w:rPr>
              <w:t>设施</w:t>
            </w:r>
          </w:p>
        </w:tc>
        <w:tc>
          <w:tcPr>
            <w:tcW w:w="2129" w:type="dxa"/>
            <w:gridSpan w:val="2"/>
            <w:vAlign w:val="center"/>
          </w:tcPr>
          <w:p>
            <w:pPr>
              <w:adjustRightInd w:val="0"/>
              <w:spacing w:line="240" w:lineRule="exact"/>
              <w:jc w:val="center"/>
              <w:rPr>
                <w:sz w:val="24"/>
                <w:szCs w:val="24"/>
              </w:rPr>
            </w:pPr>
            <w:r>
              <w:rPr>
                <w:rFonts w:hint="eastAsia"/>
                <w:sz w:val="24"/>
                <w:szCs w:val="24"/>
              </w:rPr>
              <w:t>区级体育场</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Merge w:val="continue"/>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能开展大型田径、足球运动等比赛和练习，</w:t>
            </w:r>
            <w:r>
              <w:rPr>
                <w:sz w:val="24"/>
                <w:szCs w:val="24"/>
              </w:rPr>
              <w:t>可进行大中型文化活动</w:t>
            </w:r>
            <w:r>
              <w:rPr>
                <w:rFonts w:hint="eastAsia"/>
                <w:sz w:val="24"/>
                <w:szCs w:val="24"/>
              </w:rPr>
              <w:t>。</w:t>
            </w:r>
          </w:p>
          <w:p>
            <w:pPr>
              <w:adjustRightInd w:val="0"/>
              <w:spacing w:line="240" w:lineRule="exact"/>
              <w:rPr>
                <w:sz w:val="24"/>
                <w:szCs w:val="24"/>
              </w:rPr>
            </w:pP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区级游泳馆</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能开展游泳、跳水、水球和花样游泳等室内比赛和练习，</w:t>
            </w:r>
            <w:r>
              <w:rPr>
                <w:sz w:val="24"/>
                <w:szCs w:val="24"/>
              </w:rPr>
              <w:t>可进行大中型文化活动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jc w:val="center"/>
        </w:trPr>
        <w:tc>
          <w:tcPr>
            <w:tcW w:w="1518" w:type="dxa"/>
            <w:vMerge w:val="continue"/>
            <w:vAlign w:val="center"/>
          </w:tcPr>
          <w:p>
            <w:pPr>
              <w:adjustRightInd w:val="0"/>
              <w:spacing w:line="240" w:lineRule="exact"/>
              <w:jc w:val="center"/>
              <w:rPr>
                <w:sz w:val="24"/>
                <w:szCs w:val="24"/>
              </w:rPr>
            </w:pPr>
          </w:p>
        </w:tc>
        <w:tc>
          <w:tcPr>
            <w:tcW w:w="2129" w:type="dxa"/>
            <w:gridSpan w:val="2"/>
            <w:vAlign w:val="center"/>
          </w:tcPr>
          <w:p>
            <w:pPr>
              <w:adjustRightInd w:val="0"/>
              <w:spacing w:line="240" w:lineRule="exact"/>
              <w:jc w:val="center"/>
              <w:rPr>
                <w:sz w:val="24"/>
                <w:szCs w:val="24"/>
              </w:rPr>
            </w:pPr>
            <w:r>
              <w:rPr>
                <w:rFonts w:hint="eastAsia"/>
                <w:sz w:val="24"/>
                <w:szCs w:val="24"/>
              </w:rPr>
              <w:t>中型全民健身</w:t>
            </w:r>
          </w:p>
          <w:p>
            <w:pPr>
              <w:adjustRightInd w:val="0"/>
              <w:spacing w:line="240" w:lineRule="exact"/>
              <w:jc w:val="center"/>
              <w:rPr>
                <w:sz w:val="24"/>
                <w:szCs w:val="24"/>
              </w:rPr>
            </w:pPr>
            <w:r>
              <w:rPr>
                <w:rFonts w:hint="eastAsia"/>
                <w:sz w:val="24"/>
                <w:szCs w:val="24"/>
              </w:rPr>
              <w:t>活动中心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sz w:val="24"/>
                <w:szCs w:val="24"/>
              </w:rPr>
            </w:pPr>
            <w:r>
              <w:rPr>
                <w:rFonts w:hint="eastAsia"/>
                <w:sz w:val="24"/>
                <w:szCs w:val="24"/>
              </w:rPr>
              <w:t>能开展多项群众体育运动和小型体育比赛，</w:t>
            </w:r>
            <w:r>
              <w:rPr>
                <w:sz w:val="24"/>
                <w:szCs w:val="24"/>
              </w:rPr>
              <w:t>可进行中小型文化活动</w:t>
            </w:r>
            <w:r>
              <w:rPr>
                <w:rFonts w:hint="eastAsia"/>
                <w:sz w:val="24"/>
                <w:szCs w:val="24"/>
              </w:rPr>
              <w:t>。按照专项规划和行业规范，结合用地情况落实。</w:t>
            </w: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518" w:type="dxa"/>
            <w:vMerge w:val="restart"/>
            <w:vAlign w:val="center"/>
          </w:tcPr>
          <w:p>
            <w:pPr>
              <w:adjustRightInd w:val="0"/>
              <w:spacing w:line="240" w:lineRule="exact"/>
              <w:jc w:val="center"/>
              <w:rPr>
                <w:sz w:val="24"/>
                <w:szCs w:val="24"/>
              </w:rPr>
            </w:pPr>
            <w:r>
              <w:rPr>
                <w:rFonts w:hint="eastAsia"/>
                <w:sz w:val="24"/>
                <w:szCs w:val="24"/>
              </w:rPr>
              <w:t>市政公用</w:t>
            </w:r>
          </w:p>
          <w:p>
            <w:pPr>
              <w:adjustRightInd w:val="0"/>
              <w:spacing w:line="240" w:lineRule="exact"/>
              <w:jc w:val="center"/>
              <w:rPr>
                <w:sz w:val="24"/>
                <w:szCs w:val="24"/>
              </w:rPr>
            </w:pPr>
            <w:r>
              <w:rPr>
                <w:rFonts w:hint="eastAsia"/>
                <w:sz w:val="24"/>
                <w:szCs w:val="24"/>
              </w:rPr>
              <w:t>设施</w:t>
            </w:r>
          </w:p>
        </w:tc>
        <w:tc>
          <w:tcPr>
            <w:tcW w:w="887" w:type="dxa"/>
            <w:vMerge w:val="restart"/>
            <w:vAlign w:val="center"/>
          </w:tcPr>
          <w:p>
            <w:pPr>
              <w:adjustRightInd w:val="0"/>
              <w:spacing w:line="240" w:lineRule="exact"/>
              <w:jc w:val="center"/>
              <w:rPr>
                <w:sz w:val="24"/>
                <w:szCs w:val="24"/>
              </w:rPr>
            </w:pPr>
            <w:r>
              <w:rPr>
                <w:rFonts w:hint="eastAsia"/>
                <w:sz w:val="24"/>
                <w:szCs w:val="24"/>
              </w:rPr>
              <w:t>垃圾压缩站（转运站）</w:t>
            </w:r>
          </w:p>
          <w:p>
            <w:pPr>
              <w:adjustRightInd w:val="0"/>
              <w:spacing w:line="240" w:lineRule="exact"/>
              <w:jc w:val="center"/>
              <w:rPr>
                <w:sz w:val="24"/>
                <w:szCs w:val="24"/>
              </w:rPr>
            </w:pPr>
          </w:p>
        </w:tc>
        <w:tc>
          <w:tcPr>
            <w:tcW w:w="1242" w:type="dxa"/>
            <w:vAlign w:val="center"/>
          </w:tcPr>
          <w:p>
            <w:pPr>
              <w:adjustRightInd w:val="0"/>
              <w:spacing w:line="240" w:lineRule="exact"/>
              <w:jc w:val="center"/>
              <w:rPr>
                <w:sz w:val="24"/>
                <w:szCs w:val="24"/>
              </w:rPr>
            </w:pPr>
            <w:r>
              <w:rPr>
                <w:rFonts w:hint="eastAsia" w:ascii="仿宋_GB2312" w:hAnsi="仿宋_GB2312" w:cs="仿宋_GB2312"/>
                <w:sz w:val="24"/>
                <w:szCs w:val="24"/>
              </w:rPr>
              <w:t>2厢</w:t>
            </w:r>
          </w:p>
        </w:tc>
        <w:tc>
          <w:tcPr>
            <w:tcW w:w="1389" w:type="dxa"/>
            <w:vAlign w:val="center"/>
          </w:tcPr>
          <w:p>
            <w:pPr>
              <w:adjustRightInd w:val="0"/>
              <w:spacing w:line="240" w:lineRule="exact"/>
              <w:jc w:val="center"/>
              <w:rPr>
                <w:sz w:val="24"/>
                <w:szCs w:val="24"/>
              </w:rPr>
            </w:pPr>
            <w:r>
              <w:rPr>
                <w:rFonts w:hint="eastAsia"/>
                <w:sz w:val="24"/>
                <w:szCs w:val="24"/>
              </w:rPr>
              <w:t>1200</w:t>
            </w:r>
          </w:p>
        </w:tc>
        <w:tc>
          <w:tcPr>
            <w:tcW w:w="1623" w:type="dxa"/>
            <w:vAlign w:val="center"/>
          </w:tcPr>
          <w:p>
            <w:pPr>
              <w:adjustRightInd w:val="0"/>
              <w:spacing w:line="240" w:lineRule="exact"/>
              <w:jc w:val="center"/>
              <w:rPr>
                <w:sz w:val="24"/>
                <w:szCs w:val="24"/>
              </w:rPr>
            </w:pPr>
            <w:r>
              <w:rPr>
                <w:rFonts w:hint="eastAsia"/>
                <w:sz w:val="24"/>
                <w:szCs w:val="24"/>
              </w:rPr>
              <w:t>420~460</w:t>
            </w:r>
          </w:p>
        </w:tc>
        <w:tc>
          <w:tcPr>
            <w:tcW w:w="1452" w:type="dxa"/>
            <w:vAlign w:val="center"/>
          </w:tcPr>
          <w:p>
            <w:pPr>
              <w:adjustRightInd w:val="0"/>
              <w:spacing w:line="240" w:lineRule="exact"/>
              <w:jc w:val="center"/>
              <w:rPr>
                <w:sz w:val="24"/>
                <w:szCs w:val="24"/>
              </w:rPr>
            </w:pPr>
            <w:r>
              <w:rPr>
                <w:rFonts w:hint="eastAsia"/>
                <w:sz w:val="24"/>
                <w:szCs w:val="24"/>
              </w:rPr>
              <w:t>3~7</w:t>
            </w:r>
          </w:p>
        </w:tc>
        <w:tc>
          <w:tcPr>
            <w:tcW w:w="3700" w:type="dxa"/>
            <w:vMerge w:val="restart"/>
            <w:vAlign w:val="center"/>
          </w:tcPr>
          <w:p>
            <w:pPr>
              <w:numPr>
                <w:ilvl w:val="0"/>
                <w:numId w:val="1"/>
              </w:numPr>
              <w:adjustRightInd w:val="0"/>
              <w:spacing w:line="240" w:lineRule="exact"/>
              <w:rPr>
                <w:sz w:val="24"/>
                <w:szCs w:val="24"/>
              </w:rPr>
            </w:pPr>
            <w:r>
              <w:rPr>
                <w:rFonts w:hint="eastAsia"/>
                <w:sz w:val="24"/>
                <w:szCs w:val="24"/>
              </w:rPr>
              <w:t>用地应紧靠主、次干道，应满足供水、供电和污水排放要求，方便运输。</w:t>
            </w:r>
          </w:p>
          <w:p>
            <w:pPr>
              <w:numPr>
                <w:ilvl w:val="0"/>
                <w:numId w:val="1"/>
              </w:numPr>
              <w:adjustRightInd w:val="0"/>
              <w:spacing w:line="240" w:lineRule="exact"/>
              <w:rPr>
                <w:sz w:val="24"/>
                <w:szCs w:val="24"/>
              </w:rPr>
            </w:pPr>
            <w:r>
              <w:rPr>
                <w:rFonts w:hint="eastAsia"/>
                <w:sz w:val="24"/>
                <w:szCs w:val="24"/>
              </w:rPr>
              <w:t>按照专项规划和行业规范，结合用地情况落实。</w:t>
            </w:r>
          </w:p>
        </w:tc>
        <w:tc>
          <w:tcPr>
            <w:tcW w:w="3241" w:type="dxa"/>
            <w:vMerge w:val="restart"/>
            <w:vAlign w:val="center"/>
          </w:tcPr>
          <w:p>
            <w:pPr>
              <w:adjustRightInd w:val="0"/>
              <w:spacing w:line="240" w:lineRule="exact"/>
              <w:rPr>
                <w:sz w:val="24"/>
                <w:szCs w:val="24"/>
              </w:rPr>
            </w:pPr>
            <w:r>
              <w:rPr>
                <w:rFonts w:hint="eastAsia"/>
                <w:sz w:val="24"/>
                <w:szCs w:val="24"/>
              </w:rPr>
              <w:t>1.《环境卫生设施设置规范》（CJJ27-2012）</w:t>
            </w:r>
          </w:p>
          <w:p>
            <w:pPr>
              <w:adjustRightInd w:val="0"/>
              <w:spacing w:line="240" w:lineRule="exact"/>
              <w:rPr>
                <w:sz w:val="24"/>
                <w:szCs w:val="24"/>
              </w:rPr>
            </w:pPr>
            <w:r>
              <w:rPr>
                <w:rFonts w:hint="eastAsia"/>
                <w:sz w:val="24"/>
                <w:szCs w:val="24"/>
              </w:rPr>
              <w:t>2.《生活垃圾转运站技术规范》（CJJ/T47-2016）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518" w:type="dxa"/>
            <w:vMerge w:val="continue"/>
            <w:vAlign w:val="center"/>
          </w:tcPr>
          <w:p>
            <w:pPr>
              <w:adjustRightInd w:val="0"/>
              <w:spacing w:line="240" w:lineRule="exact"/>
              <w:jc w:val="center"/>
              <w:rPr>
                <w:sz w:val="24"/>
                <w:szCs w:val="24"/>
              </w:rPr>
            </w:pPr>
          </w:p>
        </w:tc>
        <w:tc>
          <w:tcPr>
            <w:tcW w:w="887" w:type="dxa"/>
            <w:vMerge w:val="continue"/>
            <w:vAlign w:val="center"/>
          </w:tcPr>
          <w:p>
            <w:pPr>
              <w:adjustRightInd w:val="0"/>
              <w:spacing w:line="240" w:lineRule="exact"/>
              <w:jc w:val="center"/>
              <w:rPr>
                <w:sz w:val="24"/>
                <w:szCs w:val="24"/>
              </w:rPr>
            </w:pPr>
          </w:p>
        </w:tc>
        <w:tc>
          <w:tcPr>
            <w:tcW w:w="1242" w:type="dxa"/>
            <w:vAlign w:val="center"/>
          </w:tcPr>
          <w:p>
            <w:pPr>
              <w:adjustRightInd w:val="0"/>
              <w:spacing w:line="240" w:lineRule="exact"/>
              <w:jc w:val="center"/>
              <w:rPr>
                <w:sz w:val="24"/>
                <w:szCs w:val="24"/>
              </w:rPr>
            </w:pPr>
            <w:r>
              <w:rPr>
                <w:rFonts w:hint="eastAsia" w:ascii="仿宋_GB2312" w:hAnsi="仿宋_GB2312" w:cs="仿宋_GB2312"/>
                <w:sz w:val="24"/>
                <w:szCs w:val="24"/>
              </w:rPr>
              <w:t>3厢</w:t>
            </w:r>
          </w:p>
        </w:tc>
        <w:tc>
          <w:tcPr>
            <w:tcW w:w="1389" w:type="dxa"/>
            <w:vAlign w:val="center"/>
          </w:tcPr>
          <w:p>
            <w:pPr>
              <w:adjustRightInd w:val="0"/>
              <w:spacing w:line="240" w:lineRule="exact"/>
              <w:jc w:val="center"/>
              <w:rPr>
                <w:sz w:val="24"/>
                <w:szCs w:val="24"/>
              </w:rPr>
            </w:pPr>
            <w:r>
              <w:rPr>
                <w:rFonts w:hint="eastAsia"/>
                <w:sz w:val="24"/>
                <w:szCs w:val="24"/>
              </w:rPr>
              <w:t>1600</w:t>
            </w:r>
          </w:p>
        </w:tc>
        <w:tc>
          <w:tcPr>
            <w:tcW w:w="1623" w:type="dxa"/>
            <w:vAlign w:val="center"/>
          </w:tcPr>
          <w:p>
            <w:pPr>
              <w:adjustRightInd w:val="0"/>
              <w:spacing w:line="240" w:lineRule="exact"/>
              <w:jc w:val="center"/>
              <w:rPr>
                <w:sz w:val="24"/>
                <w:szCs w:val="24"/>
              </w:rPr>
            </w:pPr>
            <w:r>
              <w:rPr>
                <w:rFonts w:hint="eastAsia"/>
                <w:sz w:val="24"/>
                <w:szCs w:val="24"/>
              </w:rPr>
              <w:t>600~640</w:t>
            </w:r>
          </w:p>
        </w:tc>
        <w:tc>
          <w:tcPr>
            <w:tcW w:w="1452" w:type="dxa"/>
            <w:vAlign w:val="center"/>
          </w:tcPr>
          <w:p>
            <w:pPr>
              <w:adjustRightInd w:val="0"/>
              <w:spacing w:line="240" w:lineRule="exact"/>
              <w:jc w:val="center"/>
              <w:rPr>
                <w:sz w:val="24"/>
                <w:szCs w:val="24"/>
              </w:rPr>
            </w:pPr>
            <w:r>
              <w:rPr>
                <w:rFonts w:hint="eastAsia"/>
                <w:sz w:val="24"/>
                <w:szCs w:val="24"/>
              </w:rPr>
              <w:t>7~10</w:t>
            </w:r>
          </w:p>
        </w:tc>
        <w:tc>
          <w:tcPr>
            <w:tcW w:w="3700" w:type="dxa"/>
            <w:vMerge w:val="continue"/>
            <w:vAlign w:val="center"/>
          </w:tcPr>
          <w:p>
            <w:pPr>
              <w:adjustRightInd w:val="0"/>
              <w:spacing w:line="240" w:lineRule="exact"/>
              <w:rPr>
                <w:sz w:val="24"/>
                <w:szCs w:val="24"/>
              </w:rPr>
            </w:pP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18" w:type="dxa"/>
            <w:vMerge w:val="continue"/>
            <w:vAlign w:val="center"/>
          </w:tcPr>
          <w:p>
            <w:pPr>
              <w:adjustRightInd w:val="0"/>
              <w:spacing w:line="240" w:lineRule="exact"/>
              <w:jc w:val="center"/>
              <w:rPr>
                <w:sz w:val="24"/>
                <w:szCs w:val="24"/>
              </w:rPr>
            </w:pPr>
          </w:p>
        </w:tc>
        <w:tc>
          <w:tcPr>
            <w:tcW w:w="887" w:type="dxa"/>
            <w:vMerge w:val="continue"/>
            <w:vAlign w:val="center"/>
          </w:tcPr>
          <w:p>
            <w:pPr>
              <w:adjustRightInd w:val="0"/>
              <w:spacing w:line="240" w:lineRule="exact"/>
              <w:jc w:val="center"/>
              <w:rPr>
                <w:sz w:val="24"/>
                <w:szCs w:val="24"/>
              </w:rPr>
            </w:pPr>
          </w:p>
        </w:tc>
        <w:tc>
          <w:tcPr>
            <w:tcW w:w="1242" w:type="dxa"/>
            <w:vAlign w:val="center"/>
          </w:tcPr>
          <w:p>
            <w:pPr>
              <w:adjustRightInd w:val="0"/>
              <w:spacing w:line="240" w:lineRule="exact"/>
              <w:jc w:val="center"/>
              <w:rPr>
                <w:sz w:val="24"/>
                <w:szCs w:val="24"/>
              </w:rPr>
            </w:pPr>
            <w:r>
              <w:rPr>
                <w:rFonts w:hint="eastAsia" w:ascii="仿宋_GB2312" w:hAnsi="仿宋_GB2312" w:cs="仿宋_GB2312"/>
                <w:sz w:val="24"/>
                <w:szCs w:val="24"/>
              </w:rPr>
              <w:t>4厢</w:t>
            </w:r>
          </w:p>
        </w:tc>
        <w:tc>
          <w:tcPr>
            <w:tcW w:w="1389" w:type="dxa"/>
            <w:vAlign w:val="center"/>
          </w:tcPr>
          <w:p>
            <w:pPr>
              <w:adjustRightInd w:val="0"/>
              <w:spacing w:line="240" w:lineRule="exact"/>
              <w:jc w:val="center"/>
              <w:rPr>
                <w:sz w:val="24"/>
                <w:szCs w:val="24"/>
              </w:rPr>
            </w:pPr>
            <w:r>
              <w:rPr>
                <w:rFonts w:hint="eastAsia"/>
                <w:sz w:val="24"/>
                <w:szCs w:val="24"/>
              </w:rPr>
              <w:t>4000</w:t>
            </w:r>
          </w:p>
        </w:tc>
        <w:tc>
          <w:tcPr>
            <w:tcW w:w="1623" w:type="dxa"/>
            <w:vAlign w:val="center"/>
          </w:tcPr>
          <w:p>
            <w:pPr>
              <w:adjustRightInd w:val="0"/>
              <w:spacing w:line="240" w:lineRule="exact"/>
              <w:jc w:val="center"/>
              <w:rPr>
                <w:sz w:val="24"/>
                <w:szCs w:val="24"/>
              </w:rPr>
            </w:pPr>
            <w:r>
              <w:rPr>
                <w:rFonts w:hint="eastAsia"/>
                <w:sz w:val="24"/>
                <w:szCs w:val="24"/>
              </w:rPr>
              <w:t>880~1000</w:t>
            </w:r>
          </w:p>
        </w:tc>
        <w:tc>
          <w:tcPr>
            <w:tcW w:w="1452" w:type="dxa"/>
            <w:vAlign w:val="center"/>
          </w:tcPr>
          <w:p>
            <w:pPr>
              <w:adjustRightInd w:val="0"/>
              <w:spacing w:line="240" w:lineRule="exact"/>
              <w:jc w:val="center"/>
              <w:rPr>
                <w:sz w:val="24"/>
                <w:szCs w:val="24"/>
              </w:rPr>
            </w:pPr>
            <w:r>
              <w:rPr>
                <w:rFonts w:hint="eastAsia"/>
                <w:sz w:val="24"/>
                <w:szCs w:val="24"/>
              </w:rPr>
              <w:t>10~13</w:t>
            </w:r>
          </w:p>
        </w:tc>
        <w:tc>
          <w:tcPr>
            <w:tcW w:w="3700" w:type="dxa"/>
            <w:vMerge w:val="continue"/>
            <w:vAlign w:val="center"/>
          </w:tcPr>
          <w:p>
            <w:pPr>
              <w:adjustRightInd w:val="0"/>
              <w:spacing w:line="240" w:lineRule="exact"/>
              <w:rPr>
                <w:sz w:val="24"/>
                <w:szCs w:val="24"/>
              </w:rPr>
            </w:pP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518" w:type="dxa"/>
            <w:vMerge w:val="continue"/>
            <w:vAlign w:val="center"/>
          </w:tcPr>
          <w:p>
            <w:pPr>
              <w:adjustRightInd w:val="0"/>
              <w:spacing w:line="240" w:lineRule="exact"/>
              <w:jc w:val="center"/>
              <w:rPr>
                <w:sz w:val="24"/>
                <w:szCs w:val="24"/>
              </w:rPr>
            </w:pPr>
          </w:p>
        </w:tc>
        <w:tc>
          <w:tcPr>
            <w:tcW w:w="887" w:type="dxa"/>
            <w:vMerge w:val="continue"/>
            <w:vAlign w:val="center"/>
          </w:tcPr>
          <w:p>
            <w:pPr>
              <w:adjustRightInd w:val="0"/>
              <w:spacing w:line="240" w:lineRule="exact"/>
              <w:jc w:val="center"/>
              <w:rPr>
                <w:sz w:val="24"/>
                <w:szCs w:val="24"/>
              </w:rPr>
            </w:pPr>
          </w:p>
        </w:tc>
        <w:tc>
          <w:tcPr>
            <w:tcW w:w="1242" w:type="dxa"/>
            <w:vAlign w:val="center"/>
          </w:tcPr>
          <w:p>
            <w:pPr>
              <w:adjustRightInd w:val="0"/>
              <w:spacing w:line="240" w:lineRule="exact"/>
              <w:jc w:val="center"/>
              <w:rPr>
                <w:sz w:val="24"/>
                <w:szCs w:val="24"/>
              </w:rPr>
            </w:pPr>
            <w:r>
              <w:rPr>
                <w:rFonts w:hint="eastAsia" w:ascii="仿宋_GB2312" w:hAnsi="仿宋_GB2312" w:cs="仿宋_GB2312"/>
                <w:sz w:val="24"/>
                <w:szCs w:val="24"/>
              </w:rPr>
              <w:t>8厢</w:t>
            </w:r>
          </w:p>
        </w:tc>
        <w:tc>
          <w:tcPr>
            <w:tcW w:w="1389" w:type="dxa"/>
            <w:vAlign w:val="center"/>
          </w:tcPr>
          <w:p>
            <w:pPr>
              <w:adjustRightInd w:val="0"/>
              <w:spacing w:line="240" w:lineRule="exact"/>
              <w:jc w:val="center"/>
              <w:rPr>
                <w:sz w:val="24"/>
                <w:szCs w:val="24"/>
              </w:rPr>
            </w:pPr>
            <w:r>
              <w:rPr>
                <w:rFonts w:hint="eastAsia"/>
                <w:sz w:val="24"/>
                <w:szCs w:val="24"/>
              </w:rPr>
              <w:t>10000~</w:t>
            </w:r>
          </w:p>
          <w:p>
            <w:pPr>
              <w:adjustRightInd w:val="0"/>
              <w:spacing w:line="240" w:lineRule="exact"/>
              <w:jc w:val="center"/>
              <w:rPr>
                <w:sz w:val="24"/>
                <w:szCs w:val="24"/>
              </w:rPr>
            </w:pPr>
            <w:r>
              <w:rPr>
                <w:rFonts w:hint="eastAsia"/>
                <w:sz w:val="24"/>
                <w:szCs w:val="24"/>
              </w:rPr>
              <w:t>15000</w:t>
            </w:r>
          </w:p>
        </w:tc>
        <w:tc>
          <w:tcPr>
            <w:tcW w:w="1623" w:type="dxa"/>
            <w:vAlign w:val="center"/>
          </w:tcPr>
          <w:p>
            <w:pPr>
              <w:adjustRightInd w:val="0"/>
              <w:spacing w:line="240" w:lineRule="exact"/>
              <w:jc w:val="center"/>
              <w:rPr>
                <w:sz w:val="24"/>
                <w:szCs w:val="24"/>
              </w:rPr>
            </w:pPr>
            <w:r>
              <w:rPr>
                <w:rFonts w:hint="eastAsia"/>
                <w:sz w:val="24"/>
                <w:szCs w:val="24"/>
              </w:rPr>
              <w:t>5000~10000</w:t>
            </w:r>
          </w:p>
        </w:tc>
        <w:tc>
          <w:tcPr>
            <w:tcW w:w="1452" w:type="dxa"/>
            <w:vAlign w:val="center"/>
          </w:tcPr>
          <w:p>
            <w:pPr>
              <w:adjustRightInd w:val="0"/>
              <w:spacing w:line="240" w:lineRule="exact"/>
              <w:jc w:val="center"/>
              <w:rPr>
                <w:sz w:val="24"/>
                <w:szCs w:val="24"/>
              </w:rPr>
            </w:pPr>
            <w:r>
              <w:rPr>
                <w:rFonts w:hint="eastAsia"/>
                <w:sz w:val="24"/>
                <w:szCs w:val="24"/>
              </w:rPr>
              <w:t>45~100</w:t>
            </w:r>
          </w:p>
        </w:tc>
        <w:tc>
          <w:tcPr>
            <w:tcW w:w="3700" w:type="dxa"/>
            <w:vMerge w:val="continue"/>
            <w:vAlign w:val="center"/>
          </w:tcPr>
          <w:p>
            <w:pPr>
              <w:adjustRightInd w:val="0"/>
              <w:spacing w:line="240" w:lineRule="exact"/>
              <w:rPr>
                <w:sz w:val="24"/>
                <w:szCs w:val="24"/>
              </w:rPr>
            </w:pP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518" w:type="dxa"/>
            <w:vMerge w:val="continue"/>
            <w:vAlign w:val="center"/>
          </w:tcPr>
          <w:p>
            <w:pPr>
              <w:adjustRightInd w:val="0"/>
              <w:spacing w:line="240" w:lineRule="exact"/>
              <w:jc w:val="center"/>
              <w:rPr>
                <w:sz w:val="24"/>
                <w:szCs w:val="24"/>
              </w:rPr>
            </w:pPr>
          </w:p>
        </w:tc>
        <w:tc>
          <w:tcPr>
            <w:tcW w:w="887" w:type="dxa"/>
            <w:vMerge w:val="continue"/>
            <w:vAlign w:val="center"/>
          </w:tcPr>
          <w:p>
            <w:pPr>
              <w:adjustRightInd w:val="0"/>
              <w:spacing w:line="240" w:lineRule="exact"/>
              <w:jc w:val="center"/>
              <w:rPr>
                <w:sz w:val="24"/>
                <w:szCs w:val="24"/>
              </w:rPr>
            </w:pPr>
          </w:p>
        </w:tc>
        <w:tc>
          <w:tcPr>
            <w:tcW w:w="1242" w:type="dxa"/>
            <w:vAlign w:val="center"/>
          </w:tcPr>
          <w:p>
            <w:pPr>
              <w:adjustRightInd w:val="0"/>
              <w:spacing w:line="240" w:lineRule="exact"/>
              <w:jc w:val="center"/>
              <w:rPr>
                <w:sz w:val="24"/>
                <w:szCs w:val="24"/>
              </w:rPr>
            </w:pPr>
            <w:r>
              <w:rPr>
                <w:rFonts w:hint="eastAsia" w:ascii="仿宋_GB2312" w:hAnsi="仿宋_GB2312" w:cs="仿宋_GB2312"/>
                <w:sz w:val="24"/>
                <w:szCs w:val="24"/>
              </w:rPr>
              <w:t>10厢以上</w:t>
            </w:r>
          </w:p>
        </w:tc>
        <w:tc>
          <w:tcPr>
            <w:tcW w:w="1389" w:type="dxa"/>
            <w:vAlign w:val="center"/>
          </w:tcPr>
          <w:p>
            <w:pPr>
              <w:adjustRightInd w:val="0"/>
              <w:spacing w:line="240" w:lineRule="exact"/>
              <w:jc w:val="center"/>
              <w:rPr>
                <w:sz w:val="24"/>
                <w:szCs w:val="24"/>
              </w:rPr>
            </w:pPr>
            <w:r>
              <w:rPr>
                <w:rFonts w:hint="eastAsia"/>
                <w:sz w:val="24"/>
                <w:szCs w:val="24"/>
              </w:rPr>
              <w:t>15000~</w:t>
            </w:r>
          </w:p>
          <w:p>
            <w:pPr>
              <w:adjustRightInd w:val="0"/>
              <w:spacing w:line="240" w:lineRule="exact"/>
              <w:jc w:val="center"/>
              <w:rPr>
                <w:sz w:val="24"/>
                <w:szCs w:val="24"/>
              </w:rPr>
            </w:pPr>
            <w:r>
              <w:rPr>
                <w:rFonts w:hint="eastAsia"/>
                <w:sz w:val="24"/>
                <w:szCs w:val="24"/>
              </w:rPr>
              <w:t>30000</w:t>
            </w:r>
          </w:p>
        </w:tc>
        <w:tc>
          <w:tcPr>
            <w:tcW w:w="1623" w:type="dxa"/>
            <w:vAlign w:val="center"/>
          </w:tcPr>
          <w:p>
            <w:pPr>
              <w:adjustRightInd w:val="0"/>
              <w:spacing w:line="240" w:lineRule="exact"/>
              <w:jc w:val="center"/>
              <w:rPr>
                <w:sz w:val="24"/>
                <w:szCs w:val="24"/>
              </w:rPr>
            </w:pPr>
            <w:r>
              <w:rPr>
                <w:rFonts w:hint="eastAsia"/>
                <w:sz w:val="24"/>
                <w:szCs w:val="24"/>
              </w:rPr>
              <w:t>10000~20000</w:t>
            </w:r>
          </w:p>
        </w:tc>
        <w:tc>
          <w:tcPr>
            <w:tcW w:w="1452" w:type="dxa"/>
            <w:vAlign w:val="center"/>
          </w:tcPr>
          <w:p>
            <w:pPr>
              <w:adjustRightInd w:val="0"/>
              <w:spacing w:line="240" w:lineRule="exact"/>
              <w:jc w:val="center"/>
              <w:rPr>
                <w:sz w:val="24"/>
                <w:szCs w:val="24"/>
              </w:rPr>
            </w:pPr>
            <w:r>
              <w:rPr>
                <w:rFonts w:hint="eastAsia"/>
                <w:sz w:val="24"/>
                <w:szCs w:val="24"/>
              </w:rPr>
              <w:t>100~300</w:t>
            </w:r>
          </w:p>
        </w:tc>
        <w:tc>
          <w:tcPr>
            <w:tcW w:w="3700" w:type="dxa"/>
            <w:vMerge w:val="continue"/>
            <w:vAlign w:val="center"/>
          </w:tcPr>
          <w:p>
            <w:pPr>
              <w:adjustRightInd w:val="0"/>
              <w:spacing w:line="240" w:lineRule="exact"/>
              <w:rPr>
                <w:sz w:val="24"/>
                <w:szCs w:val="24"/>
              </w:rPr>
            </w:pPr>
          </w:p>
        </w:tc>
        <w:tc>
          <w:tcPr>
            <w:tcW w:w="324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jc w:val="center"/>
        </w:trPr>
        <w:tc>
          <w:tcPr>
            <w:tcW w:w="1518" w:type="dxa"/>
            <w:vAlign w:val="center"/>
          </w:tcPr>
          <w:p>
            <w:pPr>
              <w:adjustRightInd w:val="0"/>
              <w:spacing w:line="240" w:lineRule="exact"/>
              <w:jc w:val="center"/>
              <w:rPr>
                <w:sz w:val="24"/>
                <w:szCs w:val="24"/>
              </w:rPr>
            </w:pPr>
            <w:r>
              <w:rPr>
                <w:rFonts w:hint="eastAsia"/>
                <w:sz w:val="24"/>
                <w:szCs w:val="24"/>
              </w:rPr>
              <w:t>市政公用</w:t>
            </w:r>
          </w:p>
          <w:p>
            <w:pPr>
              <w:adjustRightInd w:val="0"/>
              <w:spacing w:line="240" w:lineRule="exact"/>
              <w:jc w:val="center"/>
              <w:rPr>
                <w:sz w:val="24"/>
                <w:szCs w:val="24"/>
              </w:rPr>
            </w:pPr>
            <w:r>
              <w:rPr>
                <w:rFonts w:hint="eastAsia"/>
                <w:sz w:val="24"/>
                <w:szCs w:val="24"/>
              </w:rPr>
              <w:t>设施</w:t>
            </w:r>
          </w:p>
        </w:tc>
        <w:tc>
          <w:tcPr>
            <w:tcW w:w="2129" w:type="dxa"/>
            <w:gridSpan w:val="2"/>
            <w:vAlign w:val="center"/>
          </w:tcPr>
          <w:p>
            <w:pPr>
              <w:adjustRightInd w:val="0"/>
              <w:spacing w:line="240" w:lineRule="exact"/>
              <w:jc w:val="center"/>
              <w:rPr>
                <w:rFonts w:ascii="仿宋_GB2312"/>
                <w:kern w:val="0"/>
                <w:sz w:val="24"/>
                <w:szCs w:val="24"/>
              </w:rPr>
            </w:pPr>
            <w:r>
              <w:rPr>
                <w:rFonts w:hint="eastAsia" w:ascii="仿宋_GB2312"/>
                <w:kern w:val="0"/>
                <w:sz w:val="24"/>
                <w:szCs w:val="24"/>
              </w:rPr>
              <w:t>可回收物</w:t>
            </w:r>
            <w:r>
              <w:rPr>
                <w:rFonts w:ascii="仿宋_GB2312"/>
                <w:kern w:val="0"/>
                <w:sz w:val="24"/>
                <w:szCs w:val="24"/>
              </w:rPr>
              <w:t>分拣</w:t>
            </w:r>
          </w:p>
          <w:p>
            <w:pPr>
              <w:adjustRightInd w:val="0"/>
              <w:spacing w:line="240" w:lineRule="exact"/>
              <w:jc w:val="center"/>
              <w:rPr>
                <w:sz w:val="24"/>
                <w:szCs w:val="24"/>
              </w:rPr>
            </w:pPr>
            <w:r>
              <w:rPr>
                <w:rFonts w:ascii="仿宋_GB2312"/>
                <w:kern w:val="0"/>
                <w:sz w:val="24"/>
                <w:szCs w:val="24"/>
              </w:rPr>
              <w:t>中心</w:t>
            </w:r>
          </w:p>
        </w:tc>
        <w:tc>
          <w:tcPr>
            <w:tcW w:w="1389" w:type="dxa"/>
            <w:vAlign w:val="center"/>
          </w:tcPr>
          <w:p>
            <w:pPr>
              <w:adjustRightInd w:val="0"/>
              <w:spacing w:line="240" w:lineRule="exact"/>
              <w:jc w:val="center"/>
              <w:rPr>
                <w:sz w:val="24"/>
                <w:szCs w:val="24"/>
              </w:rPr>
            </w:pPr>
          </w:p>
        </w:tc>
        <w:tc>
          <w:tcPr>
            <w:tcW w:w="1623" w:type="dxa"/>
            <w:vAlign w:val="center"/>
          </w:tcPr>
          <w:p>
            <w:pPr>
              <w:adjustRightInd w:val="0"/>
              <w:spacing w:line="240" w:lineRule="exact"/>
              <w:jc w:val="center"/>
              <w:rPr>
                <w:sz w:val="24"/>
                <w:szCs w:val="24"/>
              </w:rPr>
            </w:pPr>
          </w:p>
        </w:tc>
        <w:tc>
          <w:tcPr>
            <w:tcW w:w="1452" w:type="dxa"/>
            <w:vAlign w:val="center"/>
          </w:tcPr>
          <w:p>
            <w:pPr>
              <w:adjustRightInd w:val="0"/>
              <w:spacing w:line="240" w:lineRule="exact"/>
              <w:jc w:val="center"/>
              <w:rPr>
                <w:sz w:val="24"/>
                <w:szCs w:val="24"/>
              </w:rPr>
            </w:pPr>
          </w:p>
        </w:tc>
        <w:tc>
          <w:tcPr>
            <w:tcW w:w="3700" w:type="dxa"/>
            <w:vAlign w:val="center"/>
          </w:tcPr>
          <w:p>
            <w:pPr>
              <w:adjustRightInd w:val="0"/>
              <w:spacing w:line="240" w:lineRule="exact"/>
              <w:rPr>
                <w:rFonts w:ascii="仿宋_GB2312"/>
                <w:sz w:val="24"/>
                <w:szCs w:val="24"/>
              </w:rPr>
            </w:pPr>
            <w:r>
              <w:rPr>
                <w:rFonts w:hint="eastAsia" w:ascii="仿宋_GB2312"/>
                <w:sz w:val="24"/>
                <w:szCs w:val="24"/>
              </w:rPr>
              <w:t>1.应设置于交通主干道附近，具备良好的道路交通条件。</w:t>
            </w:r>
          </w:p>
          <w:p>
            <w:pPr>
              <w:adjustRightInd w:val="0"/>
              <w:spacing w:line="240" w:lineRule="exact"/>
              <w:rPr>
                <w:rFonts w:ascii="仿宋_GB2312"/>
                <w:sz w:val="24"/>
                <w:szCs w:val="24"/>
              </w:rPr>
            </w:pPr>
            <w:r>
              <w:rPr>
                <w:rFonts w:hint="eastAsia"/>
                <w:sz w:val="24"/>
                <w:szCs w:val="24"/>
              </w:rPr>
              <w:t>2.按照专项规划和行业规范，结合用地情况落实。</w:t>
            </w:r>
          </w:p>
        </w:tc>
        <w:tc>
          <w:tcPr>
            <w:tcW w:w="3241" w:type="dxa"/>
            <w:vAlign w:val="center"/>
          </w:tcPr>
          <w:p>
            <w:pPr>
              <w:adjustRightInd w:val="0"/>
              <w:spacing w:line="240" w:lineRule="exact"/>
              <w:rPr>
                <w:sz w:val="24"/>
                <w:szCs w:val="24"/>
              </w:rPr>
            </w:pPr>
            <w:r>
              <w:rPr>
                <w:rFonts w:hint="eastAsia" w:ascii="仿宋_GB2312"/>
                <w:sz w:val="24"/>
                <w:szCs w:val="24"/>
              </w:rPr>
              <w:t>商务部《绿色再生资源分拣中心建设管理规范》</w:t>
            </w:r>
          </w:p>
        </w:tc>
      </w:tr>
    </w:tbl>
    <w:p>
      <w:pPr>
        <w:adjustRightInd w:val="0"/>
        <w:snapToGrid w:val="0"/>
        <w:rPr>
          <w:sz w:val="24"/>
          <w:szCs w:val="24"/>
        </w:rPr>
      </w:pPr>
    </w:p>
    <w:p>
      <w:pPr>
        <w:adjustRightInd w:val="0"/>
        <w:snapToGrid w:val="0"/>
        <w:rPr>
          <w:rFonts w:ascii="仿宋_GB2312" w:hAnsi="仿宋_GB2312" w:cs="仿宋_GB2312"/>
          <w:szCs w:val="32"/>
        </w:rPr>
      </w:pPr>
    </w:p>
    <w:p>
      <w:pPr>
        <w:adjustRightInd w:val="0"/>
        <w:snapToGrid w:val="0"/>
        <w:rPr>
          <w:rFonts w:ascii="仿宋_GB2312" w:hAnsi="仿宋_GB2312" w:cs="仿宋_GB2312"/>
          <w:szCs w:val="32"/>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附表2</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街道级公共服务设施内容与规模标准</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09"/>
        <w:gridCol w:w="992"/>
        <w:gridCol w:w="1871"/>
        <w:gridCol w:w="1406"/>
        <w:gridCol w:w="1163"/>
        <w:gridCol w:w="3430"/>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blHeader/>
        </w:trPr>
        <w:tc>
          <w:tcPr>
            <w:tcW w:w="2972" w:type="dxa"/>
            <w:gridSpan w:val="3"/>
            <w:vAlign w:val="center"/>
          </w:tcPr>
          <w:p>
            <w:pPr>
              <w:adjustRightInd w:val="0"/>
              <w:spacing w:line="240" w:lineRule="exact"/>
              <w:jc w:val="center"/>
              <w:rPr>
                <w:b/>
                <w:bCs/>
                <w:sz w:val="24"/>
                <w:szCs w:val="24"/>
              </w:rPr>
            </w:pPr>
            <w:r>
              <w:rPr>
                <w:rFonts w:hint="eastAsia"/>
                <w:b/>
                <w:bCs/>
                <w:sz w:val="24"/>
                <w:szCs w:val="24"/>
              </w:rPr>
              <w:t>类别</w:t>
            </w:r>
          </w:p>
        </w:tc>
        <w:tc>
          <w:tcPr>
            <w:tcW w:w="3277" w:type="dxa"/>
            <w:gridSpan w:val="2"/>
            <w:vAlign w:val="center"/>
          </w:tcPr>
          <w:p>
            <w:pPr>
              <w:adjustRightInd w:val="0"/>
              <w:spacing w:line="240" w:lineRule="exact"/>
              <w:jc w:val="center"/>
              <w:rPr>
                <w:b/>
                <w:bCs/>
                <w:sz w:val="24"/>
                <w:szCs w:val="24"/>
              </w:rPr>
            </w:pPr>
            <w:r>
              <w:rPr>
                <w:rFonts w:hint="eastAsia"/>
                <w:b/>
                <w:bCs/>
                <w:sz w:val="24"/>
                <w:szCs w:val="24"/>
              </w:rPr>
              <w:t>一般规模</w:t>
            </w:r>
          </w:p>
        </w:tc>
        <w:tc>
          <w:tcPr>
            <w:tcW w:w="1163" w:type="dxa"/>
            <w:vMerge w:val="restart"/>
            <w:vAlign w:val="center"/>
          </w:tcPr>
          <w:p>
            <w:pPr>
              <w:adjustRightInd w:val="0"/>
              <w:spacing w:line="240" w:lineRule="exact"/>
              <w:jc w:val="center"/>
              <w:rPr>
                <w:b/>
                <w:bCs/>
                <w:sz w:val="24"/>
                <w:szCs w:val="24"/>
              </w:rPr>
            </w:pPr>
            <w:r>
              <w:rPr>
                <w:rFonts w:hint="eastAsia"/>
                <w:b/>
                <w:bCs/>
                <w:sz w:val="24"/>
                <w:szCs w:val="24"/>
              </w:rPr>
              <w:t>服务</w:t>
            </w:r>
          </w:p>
          <w:p>
            <w:pPr>
              <w:adjustRightInd w:val="0"/>
              <w:spacing w:line="240" w:lineRule="exact"/>
              <w:jc w:val="center"/>
              <w:rPr>
                <w:b/>
                <w:bCs/>
                <w:sz w:val="24"/>
                <w:szCs w:val="24"/>
              </w:rPr>
            </w:pPr>
            <w:r>
              <w:rPr>
                <w:rFonts w:hint="eastAsia"/>
                <w:b/>
                <w:bCs/>
                <w:sz w:val="24"/>
                <w:szCs w:val="24"/>
              </w:rPr>
              <w:t>规模</w:t>
            </w:r>
          </w:p>
          <w:p>
            <w:pPr>
              <w:adjustRightInd w:val="0"/>
              <w:spacing w:line="240" w:lineRule="exact"/>
              <w:jc w:val="center"/>
              <w:rPr>
                <w:b/>
                <w:bCs/>
                <w:sz w:val="24"/>
                <w:szCs w:val="24"/>
              </w:rPr>
            </w:pPr>
            <w:r>
              <w:rPr>
                <w:rFonts w:hint="eastAsia"/>
                <w:b/>
                <w:bCs/>
                <w:sz w:val="24"/>
                <w:szCs w:val="24"/>
              </w:rPr>
              <w:t>（万人）</w:t>
            </w:r>
          </w:p>
        </w:tc>
        <w:tc>
          <w:tcPr>
            <w:tcW w:w="3430" w:type="dxa"/>
            <w:vMerge w:val="restart"/>
            <w:vAlign w:val="center"/>
          </w:tcPr>
          <w:p>
            <w:pPr>
              <w:adjustRightInd w:val="0"/>
              <w:spacing w:line="240" w:lineRule="exact"/>
              <w:jc w:val="center"/>
              <w:rPr>
                <w:b/>
                <w:bCs/>
                <w:sz w:val="24"/>
                <w:szCs w:val="24"/>
              </w:rPr>
            </w:pPr>
            <w:r>
              <w:rPr>
                <w:rFonts w:hint="eastAsia"/>
                <w:b/>
                <w:bCs/>
                <w:sz w:val="24"/>
                <w:szCs w:val="24"/>
              </w:rPr>
              <w:t>规划设置要求</w:t>
            </w:r>
          </w:p>
        </w:tc>
        <w:tc>
          <w:tcPr>
            <w:tcW w:w="3106" w:type="dxa"/>
            <w:vMerge w:val="restart"/>
            <w:vAlign w:val="center"/>
          </w:tcPr>
          <w:p>
            <w:pPr>
              <w:adjustRightInd w:val="0"/>
              <w:spacing w:line="240" w:lineRule="exact"/>
              <w:jc w:val="center"/>
              <w:rPr>
                <w:b/>
                <w:bCs/>
                <w:sz w:val="24"/>
                <w:szCs w:val="24"/>
              </w:rPr>
            </w:pPr>
            <w:r>
              <w:rPr>
                <w:rFonts w:hint="eastAsia"/>
                <w:b/>
                <w:bCs/>
                <w:sz w:val="24"/>
                <w:szCs w:val="24"/>
              </w:rPr>
              <w:t>新增或提高配建标准</w:t>
            </w:r>
          </w:p>
          <w:p>
            <w:pPr>
              <w:adjustRightInd w:val="0"/>
              <w:spacing w:line="240" w:lineRule="exact"/>
              <w:jc w:val="center"/>
              <w:rPr>
                <w:b/>
                <w:bCs/>
                <w:sz w:val="24"/>
                <w:szCs w:val="24"/>
              </w:rPr>
            </w:pPr>
            <w:r>
              <w:rPr>
                <w:rFonts w:hint="eastAsia"/>
                <w:b/>
                <w:bCs/>
                <w:sz w:val="24"/>
                <w:szCs w:val="24"/>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blHeader/>
        </w:trPr>
        <w:tc>
          <w:tcPr>
            <w:tcW w:w="1271" w:type="dxa"/>
            <w:vAlign w:val="center"/>
          </w:tcPr>
          <w:p>
            <w:pPr>
              <w:adjustRightInd w:val="0"/>
              <w:spacing w:line="240" w:lineRule="exact"/>
              <w:jc w:val="center"/>
              <w:rPr>
                <w:b/>
                <w:bCs/>
                <w:sz w:val="24"/>
                <w:szCs w:val="24"/>
              </w:rPr>
            </w:pPr>
            <w:r>
              <w:rPr>
                <w:rFonts w:hint="eastAsia"/>
                <w:b/>
                <w:bCs/>
                <w:sz w:val="24"/>
                <w:szCs w:val="24"/>
              </w:rPr>
              <w:t>设施</w:t>
            </w:r>
          </w:p>
          <w:p>
            <w:pPr>
              <w:adjustRightInd w:val="0"/>
              <w:spacing w:line="240" w:lineRule="exact"/>
              <w:jc w:val="center"/>
              <w:rPr>
                <w:b/>
                <w:bCs/>
                <w:sz w:val="24"/>
                <w:szCs w:val="24"/>
              </w:rPr>
            </w:pPr>
            <w:r>
              <w:rPr>
                <w:rFonts w:hint="eastAsia"/>
                <w:b/>
                <w:bCs/>
                <w:sz w:val="24"/>
                <w:szCs w:val="24"/>
              </w:rPr>
              <w:t>类别</w:t>
            </w:r>
          </w:p>
        </w:tc>
        <w:tc>
          <w:tcPr>
            <w:tcW w:w="1701" w:type="dxa"/>
            <w:gridSpan w:val="2"/>
            <w:vAlign w:val="center"/>
          </w:tcPr>
          <w:p>
            <w:pPr>
              <w:adjustRightInd w:val="0"/>
              <w:spacing w:line="240" w:lineRule="exact"/>
              <w:jc w:val="center"/>
              <w:rPr>
                <w:b/>
                <w:bCs/>
                <w:sz w:val="24"/>
                <w:szCs w:val="24"/>
              </w:rPr>
            </w:pPr>
            <w:r>
              <w:rPr>
                <w:rFonts w:hint="eastAsia"/>
                <w:b/>
                <w:bCs/>
                <w:sz w:val="24"/>
                <w:szCs w:val="24"/>
              </w:rPr>
              <w:t>设置项目</w:t>
            </w:r>
          </w:p>
        </w:tc>
        <w:tc>
          <w:tcPr>
            <w:tcW w:w="1871" w:type="dxa"/>
            <w:vAlign w:val="center"/>
          </w:tcPr>
          <w:p>
            <w:pPr>
              <w:adjustRightInd w:val="0"/>
              <w:spacing w:line="240" w:lineRule="exact"/>
              <w:jc w:val="center"/>
              <w:rPr>
                <w:b/>
                <w:bCs/>
                <w:sz w:val="24"/>
                <w:szCs w:val="24"/>
              </w:rPr>
            </w:pPr>
            <w:r>
              <w:rPr>
                <w:rFonts w:hint="eastAsia"/>
                <w:b/>
                <w:bCs/>
                <w:sz w:val="24"/>
                <w:szCs w:val="24"/>
              </w:rPr>
              <w:t>用地面积</w:t>
            </w:r>
          </w:p>
          <w:p>
            <w:pPr>
              <w:adjustRightInd w:val="0"/>
              <w:spacing w:line="240" w:lineRule="exact"/>
              <w:jc w:val="center"/>
              <w:rPr>
                <w:b/>
                <w:bCs/>
                <w:sz w:val="24"/>
                <w:szCs w:val="24"/>
              </w:rPr>
            </w:pPr>
            <w:r>
              <w:rPr>
                <w:b/>
                <w:kern w:val="0"/>
                <w:sz w:val="24"/>
                <w:szCs w:val="24"/>
              </w:rPr>
              <w:t>（</w:t>
            </w:r>
            <w:r>
              <w:rPr>
                <w:rFonts w:hint="eastAsia"/>
                <w:b/>
                <w:kern w:val="0"/>
                <w:sz w:val="24"/>
                <w:szCs w:val="24"/>
              </w:rPr>
              <w:t>平方米</w:t>
            </w:r>
            <w:r>
              <w:rPr>
                <w:b/>
                <w:kern w:val="0"/>
                <w:sz w:val="24"/>
                <w:szCs w:val="24"/>
              </w:rPr>
              <w:t>）</w:t>
            </w:r>
          </w:p>
        </w:tc>
        <w:tc>
          <w:tcPr>
            <w:tcW w:w="1406" w:type="dxa"/>
            <w:vAlign w:val="center"/>
          </w:tcPr>
          <w:p>
            <w:pPr>
              <w:adjustRightInd w:val="0"/>
              <w:spacing w:line="240" w:lineRule="exact"/>
              <w:jc w:val="center"/>
              <w:rPr>
                <w:b/>
                <w:bCs/>
                <w:sz w:val="24"/>
                <w:szCs w:val="24"/>
              </w:rPr>
            </w:pPr>
            <w:r>
              <w:rPr>
                <w:rFonts w:hint="eastAsia"/>
                <w:b/>
                <w:bCs/>
                <w:sz w:val="24"/>
                <w:szCs w:val="24"/>
              </w:rPr>
              <w:t>建筑面积</w:t>
            </w:r>
            <w:r>
              <w:rPr>
                <w:b/>
                <w:kern w:val="0"/>
                <w:sz w:val="24"/>
                <w:szCs w:val="24"/>
              </w:rPr>
              <w:t>（</w:t>
            </w:r>
            <w:r>
              <w:rPr>
                <w:rFonts w:hint="eastAsia"/>
                <w:b/>
                <w:kern w:val="0"/>
                <w:sz w:val="24"/>
                <w:szCs w:val="24"/>
              </w:rPr>
              <w:t>平方米</w:t>
            </w:r>
            <w:r>
              <w:rPr>
                <w:b/>
                <w:kern w:val="0"/>
                <w:sz w:val="24"/>
                <w:szCs w:val="24"/>
              </w:rPr>
              <w:t>）</w:t>
            </w:r>
          </w:p>
        </w:tc>
        <w:tc>
          <w:tcPr>
            <w:tcW w:w="1163" w:type="dxa"/>
            <w:vMerge w:val="continue"/>
            <w:vAlign w:val="center"/>
          </w:tcPr>
          <w:p>
            <w:pPr>
              <w:adjustRightInd w:val="0"/>
              <w:spacing w:line="240" w:lineRule="exact"/>
              <w:jc w:val="center"/>
              <w:rPr>
                <w:b/>
                <w:bCs/>
                <w:sz w:val="24"/>
                <w:szCs w:val="24"/>
              </w:rPr>
            </w:pPr>
          </w:p>
        </w:tc>
        <w:tc>
          <w:tcPr>
            <w:tcW w:w="3430" w:type="dxa"/>
            <w:vMerge w:val="continue"/>
          </w:tcPr>
          <w:p>
            <w:pPr>
              <w:adjustRightInd w:val="0"/>
              <w:spacing w:line="240" w:lineRule="exact"/>
              <w:jc w:val="center"/>
              <w:rPr>
                <w:b/>
                <w:bCs/>
                <w:sz w:val="24"/>
                <w:szCs w:val="24"/>
              </w:rPr>
            </w:pPr>
          </w:p>
        </w:tc>
        <w:tc>
          <w:tcPr>
            <w:tcW w:w="3106" w:type="dxa"/>
            <w:vMerge w:val="continue"/>
          </w:tcPr>
          <w:p>
            <w:pPr>
              <w:adjustRightInd w:val="0"/>
              <w:spacing w:line="24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1271" w:type="dxa"/>
            <w:vMerge w:val="restart"/>
            <w:vAlign w:val="center"/>
          </w:tcPr>
          <w:p>
            <w:pPr>
              <w:adjustRightInd w:val="0"/>
              <w:spacing w:line="240" w:lineRule="exact"/>
              <w:jc w:val="center"/>
              <w:rPr>
                <w:sz w:val="24"/>
                <w:szCs w:val="24"/>
              </w:rPr>
            </w:pPr>
            <w:r>
              <w:rPr>
                <w:rFonts w:hint="eastAsia"/>
                <w:sz w:val="24"/>
                <w:szCs w:val="24"/>
              </w:rPr>
              <w:t>教育设施</w:t>
            </w:r>
          </w:p>
        </w:tc>
        <w:tc>
          <w:tcPr>
            <w:tcW w:w="1701" w:type="dxa"/>
            <w:gridSpan w:val="2"/>
            <w:vAlign w:val="center"/>
          </w:tcPr>
          <w:p>
            <w:pPr>
              <w:adjustRightInd w:val="0"/>
              <w:spacing w:line="240" w:lineRule="exact"/>
              <w:jc w:val="center"/>
              <w:rPr>
                <w:sz w:val="24"/>
                <w:szCs w:val="24"/>
              </w:rPr>
            </w:pPr>
            <w:r>
              <w:rPr>
                <w:rFonts w:hint="eastAsia"/>
                <w:sz w:val="24"/>
                <w:szCs w:val="24"/>
              </w:rPr>
              <w:t>高中</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Merge w:val="restart"/>
            <w:vAlign w:val="center"/>
          </w:tcPr>
          <w:p>
            <w:pPr>
              <w:numPr>
                <w:ilvl w:val="0"/>
                <w:numId w:val="2"/>
              </w:numPr>
              <w:adjustRightInd w:val="0"/>
              <w:spacing w:line="240" w:lineRule="exact"/>
              <w:rPr>
                <w:sz w:val="24"/>
                <w:szCs w:val="24"/>
              </w:rPr>
            </w:pPr>
            <w:r>
              <w:rPr>
                <w:rFonts w:hint="eastAsia"/>
                <w:sz w:val="24"/>
                <w:szCs w:val="24"/>
              </w:rPr>
              <w:t>高标准配置优质中学，规划人口达到 10万人的，原则上应设1处优质中学，以高中为主。新建优质中学用地面积原则上不低于10公项，不超过72班；经论证确实存在实施困难的，用地面积原则上不低于7公项，不超过60班。应配置教学楼、实验楼、行政楼、艺术楼或报告厅、图书馆、体育馆、室内游泳池、运动场、饭堂、宿舍、后勤及附属保障设施等。第二、第三圈层的优质中学应配置骨千教师人才用房，骨干教师比例约占整体教职工数 15%~25%，第二圈层按照 35 平方米/人设置，第三圈层可适当上浮。</w:t>
            </w:r>
          </w:p>
          <w:p>
            <w:pPr>
              <w:adjustRightInd w:val="0"/>
              <w:spacing w:line="240" w:lineRule="exact"/>
              <w:rPr>
                <w:sz w:val="24"/>
                <w:szCs w:val="24"/>
              </w:rPr>
            </w:pPr>
            <w:r>
              <w:rPr>
                <w:rFonts w:hint="eastAsia"/>
                <w:sz w:val="24"/>
                <w:szCs w:val="24"/>
              </w:rPr>
              <w:t>2.有条件的，可结合实际适当提高千人学位数。</w:t>
            </w:r>
          </w:p>
        </w:tc>
        <w:tc>
          <w:tcPr>
            <w:tcW w:w="3106" w:type="dxa"/>
            <w:vMerge w:val="restart"/>
            <w:vAlign w:val="center"/>
          </w:tcPr>
          <w:p>
            <w:pPr>
              <w:adjustRightInd w:val="0"/>
              <w:spacing w:line="240" w:lineRule="exact"/>
              <w:rPr>
                <w:sz w:val="24"/>
                <w:szCs w:val="24"/>
              </w:rPr>
            </w:pPr>
            <w:r>
              <w:rPr>
                <w:sz w:val="24"/>
                <w:szCs w:val="24"/>
              </w:rPr>
              <w:t>1.</w:t>
            </w:r>
            <w:r>
              <w:rPr>
                <w:rFonts w:hint="eastAsia"/>
                <w:sz w:val="24"/>
                <w:szCs w:val="24"/>
              </w:rPr>
              <w:t>《广东省人民政府关于印发广东省促进学前教育普惠健康发展行动方案和广东省推动义务教育优质均衡发展行动方案的通知》（粤府办</w:t>
            </w:r>
            <w:r>
              <w:rPr>
                <w:sz w:val="24"/>
                <w:szCs w:val="24"/>
              </w:rPr>
              <w:t>〔201</w:t>
            </w:r>
            <w:r>
              <w:rPr>
                <w:rFonts w:hint="eastAsia"/>
                <w:sz w:val="24"/>
                <w:szCs w:val="24"/>
              </w:rPr>
              <w:t>8</w:t>
            </w:r>
            <w:r>
              <w:rPr>
                <w:sz w:val="24"/>
                <w:szCs w:val="24"/>
              </w:rPr>
              <w:t>〕</w:t>
            </w:r>
            <w:r>
              <w:rPr>
                <w:rFonts w:hint="eastAsia"/>
                <w:sz w:val="24"/>
                <w:szCs w:val="24"/>
              </w:rPr>
              <w:t>28</w:t>
            </w:r>
            <w:r>
              <w:rPr>
                <w:sz w:val="24"/>
                <w:szCs w:val="24"/>
              </w:rPr>
              <w:t>号</w:t>
            </w:r>
            <w:r>
              <w:rPr>
                <w:rFonts w:hint="eastAsia"/>
                <w:sz w:val="24"/>
                <w:szCs w:val="24"/>
              </w:rPr>
              <w:t>）</w:t>
            </w:r>
          </w:p>
          <w:p>
            <w:pPr>
              <w:adjustRightInd w:val="0"/>
              <w:spacing w:line="240" w:lineRule="exact"/>
              <w:rPr>
                <w:sz w:val="24"/>
                <w:szCs w:val="24"/>
              </w:rPr>
            </w:pPr>
            <w:r>
              <w:rPr>
                <w:rFonts w:hint="eastAsia"/>
                <w:sz w:val="24"/>
                <w:szCs w:val="24"/>
              </w:rPr>
              <w:t>2..《广州市普通中小学校建设标准指引》（2021）</w:t>
            </w:r>
          </w:p>
          <w:p>
            <w:pPr>
              <w:adjustRightInd w:val="0"/>
              <w:spacing w:line="240" w:lineRule="exact"/>
              <w:rPr>
                <w:sz w:val="24"/>
                <w:szCs w:val="24"/>
              </w:rPr>
            </w:pPr>
            <w:r>
              <w:rPr>
                <w:rFonts w:hint="eastAsia"/>
                <w:sz w:val="24"/>
                <w:szCs w:val="24"/>
              </w:rPr>
              <w:t>3.参照广州市新建优质中学，例如广雅中学花都校区、执信中学天河校区、铁一中学白云校区等。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初中</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Merge w:val="continue"/>
            <w:vAlign w:val="center"/>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完全中学</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Merge w:val="continue"/>
            <w:vAlign w:val="center"/>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九年一贯制</w:t>
            </w:r>
          </w:p>
          <w:p>
            <w:pPr>
              <w:adjustRightInd w:val="0"/>
              <w:spacing w:line="240" w:lineRule="exact"/>
              <w:jc w:val="center"/>
              <w:rPr>
                <w:sz w:val="24"/>
                <w:szCs w:val="24"/>
              </w:rPr>
            </w:pPr>
            <w:r>
              <w:rPr>
                <w:rFonts w:hint="eastAsia"/>
                <w:sz w:val="24"/>
                <w:szCs w:val="24"/>
              </w:rPr>
              <w:t>学校</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Merge w:val="continue"/>
            <w:vAlign w:val="center"/>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小学</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rPr>
                <w:sz w:val="24"/>
                <w:szCs w:val="24"/>
              </w:rPr>
            </w:pPr>
          </w:p>
        </w:tc>
        <w:tc>
          <w:tcPr>
            <w:tcW w:w="1163" w:type="dxa"/>
            <w:vAlign w:val="center"/>
          </w:tcPr>
          <w:p>
            <w:pPr>
              <w:adjustRightInd w:val="0"/>
              <w:spacing w:line="240" w:lineRule="exact"/>
              <w:jc w:val="center"/>
              <w:rPr>
                <w:sz w:val="24"/>
                <w:szCs w:val="24"/>
              </w:rPr>
            </w:pPr>
          </w:p>
        </w:tc>
        <w:tc>
          <w:tcPr>
            <w:tcW w:w="3430" w:type="dxa"/>
            <w:vMerge w:val="continue"/>
            <w:vAlign w:val="center"/>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幼儿园</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Merge w:val="continue"/>
            <w:vAlign w:val="center"/>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1271" w:type="dxa"/>
            <w:vMerge w:val="restart"/>
            <w:vAlign w:val="center"/>
          </w:tcPr>
          <w:p>
            <w:pPr>
              <w:adjustRightInd w:val="0"/>
              <w:spacing w:line="240" w:lineRule="exact"/>
              <w:jc w:val="center"/>
              <w:rPr>
                <w:sz w:val="24"/>
                <w:szCs w:val="24"/>
              </w:rPr>
            </w:pPr>
            <w:r>
              <w:rPr>
                <w:rFonts w:hint="eastAsia"/>
                <w:sz w:val="24"/>
                <w:szCs w:val="24"/>
              </w:rPr>
              <w:t>行政管理与社区服务设施</w:t>
            </w:r>
          </w:p>
        </w:tc>
        <w:tc>
          <w:tcPr>
            <w:tcW w:w="709" w:type="dxa"/>
            <w:vMerge w:val="restart"/>
            <w:vAlign w:val="center"/>
          </w:tcPr>
          <w:p>
            <w:pPr>
              <w:adjustRightInd w:val="0"/>
              <w:spacing w:line="240" w:lineRule="exact"/>
              <w:jc w:val="center"/>
              <w:rPr>
                <w:sz w:val="24"/>
                <w:szCs w:val="24"/>
              </w:rPr>
            </w:pPr>
            <w:r>
              <w:rPr>
                <w:rFonts w:hint="eastAsia"/>
                <w:sz w:val="24"/>
                <w:szCs w:val="24"/>
              </w:rPr>
              <w:t>党群服务设施</w:t>
            </w:r>
          </w:p>
        </w:tc>
        <w:tc>
          <w:tcPr>
            <w:tcW w:w="992" w:type="dxa"/>
            <w:vAlign w:val="center"/>
          </w:tcPr>
          <w:p>
            <w:pPr>
              <w:adjustRightInd w:val="0"/>
              <w:spacing w:line="240" w:lineRule="exact"/>
              <w:jc w:val="center"/>
              <w:rPr>
                <w:sz w:val="24"/>
                <w:szCs w:val="24"/>
              </w:rPr>
            </w:pPr>
            <w:r>
              <w:rPr>
                <w:rFonts w:hint="eastAsia"/>
                <w:sz w:val="24"/>
                <w:szCs w:val="24"/>
              </w:rPr>
              <w:t>党群</w:t>
            </w:r>
          </w:p>
          <w:p>
            <w:pPr>
              <w:adjustRightInd w:val="0"/>
              <w:spacing w:line="240" w:lineRule="exact"/>
              <w:jc w:val="center"/>
              <w:rPr>
                <w:sz w:val="24"/>
                <w:szCs w:val="24"/>
              </w:rPr>
            </w:pPr>
            <w:r>
              <w:rPr>
                <w:rFonts w:hint="eastAsia"/>
                <w:sz w:val="24"/>
                <w:szCs w:val="24"/>
              </w:rPr>
              <w:t>服务站</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r>
              <w:rPr>
                <w:rFonts w:hint="eastAsia"/>
                <w:sz w:val="24"/>
                <w:szCs w:val="24"/>
              </w:rPr>
              <w:t>每个社区生活圈应当配置1处集公共服务平台、办公场所、活动场所、服务群众场所于一体的社区党群服务站。</w:t>
            </w:r>
          </w:p>
        </w:tc>
        <w:tc>
          <w:tcPr>
            <w:tcW w:w="3106" w:type="dxa"/>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1271" w:type="dxa"/>
            <w:vMerge w:val="continue"/>
            <w:vAlign w:val="center"/>
          </w:tcPr>
          <w:p>
            <w:pPr>
              <w:adjustRightInd w:val="0"/>
              <w:spacing w:line="240" w:lineRule="exact"/>
              <w:jc w:val="center"/>
              <w:rPr>
                <w:sz w:val="24"/>
                <w:szCs w:val="24"/>
              </w:rPr>
            </w:pPr>
          </w:p>
        </w:tc>
        <w:tc>
          <w:tcPr>
            <w:tcW w:w="709" w:type="dxa"/>
            <w:vMerge w:val="continue"/>
            <w:vAlign w:val="center"/>
          </w:tcPr>
          <w:p>
            <w:pPr>
              <w:adjustRightInd w:val="0"/>
              <w:spacing w:line="240" w:lineRule="exact"/>
              <w:jc w:val="center"/>
              <w:rPr>
                <w:sz w:val="24"/>
                <w:szCs w:val="24"/>
              </w:rPr>
            </w:pPr>
          </w:p>
        </w:tc>
        <w:tc>
          <w:tcPr>
            <w:tcW w:w="992" w:type="dxa"/>
            <w:vAlign w:val="center"/>
          </w:tcPr>
          <w:p>
            <w:pPr>
              <w:adjustRightInd w:val="0"/>
              <w:spacing w:line="240" w:lineRule="exact"/>
              <w:jc w:val="center"/>
              <w:rPr>
                <w:sz w:val="24"/>
                <w:szCs w:val="24"/>
              </w:rPr>
            </w:pPr>
            <w:r>
              <w:rPr>
                <w:rFonts w:hint="eastAsia"/>
                <w:sz w:val="24"/>
                <w:szCs w:val="24"/>
              </w:rPr>
              <w:t>社区</w:t>
            </w:r>
          </w:p>
          <w:p>
            <w:pPr>
              <w:adjustRightInd w:val="0"/>
              <w:spacing w:line="240" w:lineRule="exact"/>
              <w:jc w:val="center"/>
              <w:rPr>
                <w:sz w:val="24"/>
                <w:szCs w:val="24"/>
              </w:rPr>
            </w:pPr>
            <w:r>
              <w:rPr>
                <w:rFonts w:hint="eastAsia"/>
                <w:sz w:val="24"/>
                <w:szCs w:val="24"/>
              </w:rPr>
              <w:t>议事厅</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rFonts w:hint="eastAsia"/>
                <w:sz w:val="24"/>
                <w:szCs w:val="24"/>
              </w:rPr>
              <w:t>200</w:t>
            </w: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p>
        </w:tc>
        <w:tc>
          <w:tcPr>
            <w:tcW w:w="3106" w:type="dxa"/>
            <w:vAlign w:val="center"/>
          </w:tcPr>
          <w:p>
            <w:pPr>
              <w:adjustRightInd w:val="0"/>
              <w:spacing w:line="240" w:lineRule="exact"/>
              <w:rPr>
                <w:sz w:val="24"/>
                <w:szCs w:val="24"/>
              </w:rPr>
            </w:pPr>
            <w:r>
              <w:rPr>
                <w:rFonts w:hint="eastAsia"/>
                <w:sz w:val="24"/>
                <w:szCs w:val="24"/>
              </w:rPr>
              <w:t>《广州市全面推进城乡社区协商的工作方案》（穗社建办</w:t>
            </w:r>
            <w:r>
              <w:rPr>
                <w:rFonts w:hint="eastAsia" w:ascii="仿宋_GB2312" w:hAnsi="仿宋_GB2312" w:cs="仿宋_GB2312"/>
                <w:sz w:val="24"/>
                <w:szCs w:val="24"/>
              </w:rPr>
              <w:t>〔</w:t>
            </w:r>
            <w:r>
              <w:rPr>
                <w:rFonts w:hint="eastAsia"/>
                <w:sz w:val="24"/>
                <w:szCs w:val="24"/>
              </w:rPr>
              <w:t>2017</w:t>
            </w:r>
            <w:r>
              <w:rPr>
                <w:rFonts w:hint="eastAsia" w:ascii="仿宋_GB2312" w:hAnsi="仿宋_GB2312" w:cs="仿宋_GB2312"/>
                <w:sz w:val="24"/>
                <w:szCs w:val="24"/>
              </w:rPr>
              <w:t>〕</w:t>
            </w:r>
            <w:r>
              <w:rPr>
                <w:rFonts w:hint="eastAsia"/>
                <w:sz w:val="24"/>
                <w:szCs w:val="24"/>
              </w:rPr>
              <w:t>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司法所</w:t>
            </w:r>
          </w:p>
          <w:p>
            <w:pPr>
              <w:adjustRightInd w:val="0"/>
              <w:spacing w:line="240" w:lineRule="exact"/>
              <w:jc w:val="center"/>
              <w:rPr>
                <w:sz w:val="24"/>
                <w:szCs w:val="24"/>
              </w:rPr>
            </w:pPr>
            <w:r>
              <w:rPr>
                <w:rFonts w:hint="eastAsia"/>
                <w:sz w:val="24"/>
                <w:szCs w:val="24"/>
              </w:rPr>
              <w:t>（公共法律服务工作站）</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rFonts w:hint="eastAsia"/>
                <w:sz w:val="24"/>
                <w:szCs w:val="24"/>
              </w:rPr>
              <w:t>300</w:t>
            </w: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r>
              <w:rPr>
                <w:rFonts w:hint="eastAsia"/>
                <w:sz w:val="24"/>
                <w:szCs w:val="24"/>
              </w:rPr>
              <w:t>选址应位于临街一层、交通便利。</w:t>
            </w:r>
          </w:p>
        </w:tc>
        <w:tc>
          <w:tcPr>
            <w:tcW w:w="3106" w:type="dxa"/>
            <w:vAlign w:val="center"/>
          </w:tcPr>
          <w:p>
            <w:pPr>
              <w:adjustRightInd w:val="0"/>
              <w:spacing w:line="240" w:lineRule="exact"/>
              <w:rPr>
                <w:sz w:val="24"/>
                <w:szCs w:val="24"/>
              </w:rPr>
            </w:pPr>
            <w:r>
              <w:rPr>
                <w:sz w:val="24"/>
                <w:szCs w:val="24"/>
              </w:rPr>
              <w:t>1.</w:t>
            </w:r>
            <w:r>
              <w:rPr>
                <w:rFonts w:hint="eastAsia"/>
                <w:sz w:val="24"/>
                <w:szCs w:val="24"/>
              </w:rPr>
              <w:t>《</w:t>
            </w:r>
            <w:r>
              <w:rPr>
                <w:sz w:val="24"/>
                <w:szCs w:val="24"/>
              </w:rPr>
              <w:t>司法部关于进一步加强乡镇司法所建设的意见》（司发通〔2014〕71号）</w:t>
            </w:r>
          </w:p>
          <w:p>
            <w:pPr>
              <w:adjustRightInd w:val="0"/>
              <w:spacing w:line="240" w:lineRule="exact"/>
              <w:rPr>
                <w:sz w:val="24"/>
                <w:szCs w:val="24"/>
              </w:rPr>
            </w:pPr>
            <w:r>
              <w:rPr>
                <w:sz w:val="24"/>
                <w:szCs w:val="24"/>
              </w:rPr>
              <w:t>2.《司法部关于推进公共法律服务平台建设的意见》（司发〔2017〕9号）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trPr>
        <w:tc>
          <w:tcPr>
            <w:tcW w:w="1271" w:type="dxa"/>
            <w:vAlign w:val="center"/>
          </w:tcPr>
          <w:p>
            <w:pPr>
              <w:adjustRightInd w:val="0"/>
              <w:spacing w:line="240" w:lineRule="exact"/>
              <w:jc w:val="center"/>
              <w:rPr>
                <w:sz w:val="24"/>
                <w:szCs w:val="24"/>
              </w:rPr>
            </w:pPr>
            <w:r>
              <w:rPr>
                <w:rFonts w:hint="eastAsia"/>
                <w:sz w:val="24"/>
                <w:szCs w:val="24"/>
              </w:rPr>
              <w:t>医疗卫生设施</w:t>
            </w:r>
          </w:p>
        </w:tc>
        <w:tc>
          <w:tcPr>
            <w:tcW w:w="1701" w:type="dxa"/>
            <w:gridSpan w:val="2"/>
            <w:vAlign w:val="center"/>
          </w:tcPr>
          <w:p>
            <w:pPr>
              <w:adjustRightInd w:val="0"/>
              <w:spacing w:line="240" w:lineRule="exact"/>
              <w:jc w:val="center"/>
              <w:rPr>
                <w:sz w:val="24"/>
                <w:szCs w:val="24"/>
              </w:rPr>
            </w:pPr>
            <w:r>
              <w:rPr>
                <w:rFonts w:hint="eastAsia"/>
                <w:sz w:val="24"/>
                <w:szCs w:val="24"/>
              </w:rPr>
              <w:t>社区卫生服务中心</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sz w:val="24"/>
                <w:szCs w:val="24"/>
              </w:rPr>
              <w:t>5000-</w:t>
            </w:r>
          </w:p>
          <w:p>
            <w:pPr>
              <w:adjustRightInd w:val="0"/>
              <w:spacing w:line="240" w:lineRule="exact"/>
              <w:jc w:val="center"/>
              <w:rPr>
                <w:sz w:val="24"/>
                <w:szCs w:val="24"/>
              </w:rPr>
            </w:pPr>
            <w:r>
              <w:rPr>
                <w:sz w:val="24"/>
                <w:szCs w:val="24"/>
              </w:rPr>
              <w:t>10000</w:t>
            </w:r>
          </w:p>
        </w:tc>
        <w:tc>
          <w:tcPr>
            <w:tcW w:w="1163" w:type="dxa"/>
            <w:vAlign w:val="center"/>
          </w:tcPr>
          <w:p>
            <w:pPr>
              <w:adjustRightInd w:val="0"/>
              <w:spacing w:line="240" w:lineRule="exact"/>
              <w:jc w:val="center"/>
              <w:rPr>
                <w:sz w:val="24"/>
                <w:szCs w:val="24"/>
              </w:rPr>
            </w:pPr>
            <w:r>
              <w:rPr>
                <w:sz w:val="24"/>
                <w:szCs w:val="24"/>
              </w:rPr>
              <w:t>3-10</w:t>
            </w:r>
          </w:p>
        </w:tc>
        <w:tc>
          <w:tcPr>
            <w:tcW w:w="3430" w:type="dxa"/>
            <w:vAlign w:val="center"/>
          </w:tcPr>
          <w:p>
            <w:pPr>
              <w:adjustRightInd w:val="0"/>
              <w:spacing w:line="240" w:lineRule="exact"/>
              <w:rPr>
                <w:sz w:val="24"/>
                <w:szCs w:val="24"/>
              </w:rPr>
            </w:pPr>
            <w:r>
              <w:rPr>
                <w:rFonts w:hint="eastAsia"/>
                <w:sz w:val="24"/>
                <w:szCs w:val="24"/>
              </w:rPr>
              <w:t>1.宜独立用地，按每千服务人口</w:t>
            </w:r>
            <w:r>
              <w:rPr>
                <w:sz w:val="24"/>
                <w:szCs w:val="24"/>
              </w:rPr>
              <w:t>0.9-1.5张床设置床位，主要以老年、康复、护理、安宁疗护床位为主。</w:t>
            </w:r>
          </w:p>
          <w:p>
            <w:pPr>
              <w:adjustRightInd w:val="0"/>
              <w:spacing w:line="240" w:lineRule="exact"/>
              <w:rPr>
                <w:sz w:val="24"/>
                <w:szCs w:val="24"/>
              </w:rPr>
            </w:pPr>
            <w:r>
              <w:rPr>
                <w:rFonts w:hint="eastAsia"/>
                <w:sz w:val="24"/>
                <w:szCs w:val="24"/>
              </w:rPr>
              <w:t>2.若门诊无法全部设于首层，可将部分门诊业务用房设在二层，但必须保证首层不少于</w:t>
            </w:r>
            <w:r>
              <w:rPr>
                <w:sz w:val="24"/>
                <w:szCs w:val="24"/>
              </w:rPr>
              <w:t>400</w:t>
            </w:r>
            <w:r>
              <w:rPr>
                <w:rFonts w:hint="eastAsia"/>
                <w:sz w:val="24"/>
                <w:szCs w:val="24"/>
              </w:rPr>
              <w:t>平方米的使用面积，并有方便的对外出入口，另宜设置垂直电梯。</w:t>
            </w:r>
          </w:p>
        </w:tc>
        <w:tc>
          <w:tcPr>
            <w:tcW w:w="3106" w:type="dxa"/>
            <w:vAlign w:val="center"/>
          </w:tcPr>
          <w:p>
            <w:pPr>
              <w:adjustRightInd w:val="0"/>
              <w:spacing w:line="240" w:lineRule="exact"/>
              <w:rPr>
                <w:sz w:val="24"/>
                <w:szCs w:val="24"/>
              </w:rPr>
            </w:pPr>
            <w:r>
              <w:rPr>
                <w:rFonts w:hint="eastAsia"/>
                <w:sz w:val="24"/>
                <w:szCs w:val="24"/>
              </w:rPr>
              <w:t>1.《社区卫生服务中心、站建设标准》（建标</w:t>
            </w:r>
            <w:r>
              <w:rPr>
                <w:sz w:val="24"/>
                <w:szCs w:val="24"/>
              </w:rPr>
              <w:t>163-2013）</w:t>
            </w:r>
          </w:p>
          <w:p>
            <w:pPr>
              <w:adjustRightInd w:val="0"/>
              <w:spacing w:line="240" w:lineRule="exact"/>
              <w:rPr>
                <w:sz w:val="24"/>
                <w:szCs w:val="24"/>
              </w:rPr>
            </w:pPr>
            <w:r>
              <w:rPr>
                <w:rFonts w:hint="eastAsia"/>
                <w:sz w:val="24"/>
                <w:szCs w:val="24"/>
              </w:rPr>
              <w:t>2. 《社区医院基本标准》（国卫办医〔</w:t>
            </w:r>
            <w:r>
              <w:rPr>
                <w:sz w:val="24"/>
                <w:szCs w:val="24"/>
              </w:rPr>
              <w:t>2019</w:t>
            </w:r>
            <w:r>
              <w:rPr>
                <w:rFonts w:hint="eastAsia"/>
                <w:sz w:val="24"/>
                <w:szCs w:val="24"/>
              </w:rPr>
              <w:t>〕</w:t>
            </w:r>
            <w:r>
              <w:rPr>
                <w:sz w:val="24"/>
                <w:szCs w:val="24"/>
              </w:rPr>
              <w:t>518号）</w:t>
            </w:r>
          </w:p>
          <w:p>
            <w:pPr>
              <w:adjustRightInd w:val="0"/>
              <w:spacing w:line="240" w:lineRule="exact"/>
              <w:rPr>
                <w:sz w:val="24"/>
                <w:szCs w:val="24"/>
              </w:rPr>
            </w:pPr>
            <w:r>
              <w:rPr>
                <w:sz w:val="24"/>
                <w:szCs w:val="24"/>
              </w:rPr>
              <w:t>3.</w:t>
            </w:r>
            <w:r>
              <w:rPr>
                <w:rFonts w:hint="eastAsia"/>
                <w:sz w:val="24"/>
                <w:szCs w:val="24"/>
              </w:rPr>
              <w:t xml:space="preserve"> 《广州市进一步加强基层医疗卫生服务能力建设实施方案的通知》（穗府办函〔</w:t>
            </w:r>
            <w:r>
              <w:rPr>
                <w:sz w:val="24"/>
                <w:szCs w:val="24"/>
              </w:rPr>
              <w:t>2018</w:t>
            </w:r>
            <w:r>
              <w:rPr>
                <w:rFonts w:hint="eastAsia"/>
                <w:sz w:val="24"/>
                <w:szCs w:val="24"/>
              </w:rPr>
              <w:t>〕</w:t>
            </w:r>
            <w:r>
              <w:rPr>
                <w:sz w:val="24"/>
                <w:szCs w:val="24"/>
              </w:rPr>
              <w:t>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1271" w:type="dxa"/>
            <w:vMerge w:val="restart"/>
            <w:vAlign w:val="center"/>
          </w:tcPr>
          <w:p>
            <w:pPr>
              <w:adjustRightInd w:val="0"/>
              <w:spacing w:line="240" w:lineRule="exact"/>
              <w:jc w:val="center"/>
              <w:rPr>
                <w:sz w:val="24"/>
                <w:szCs w:val="24"/>
              </w:rPr>
            </w:pPr>
            <w:r>
              <w:rPr>
                <w:rFonts w:hint="eastAsia"/>
                <w:sz w:val="24"/>
                <w:szCs w:val="24"/>
              </w:rPr>
              <w:t>文化体育设施</w:t>
            </w:r>
          </w:p>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lang w:val="zh-CN"/>
              </w:rPr>
              <w:t>陈列展览馆</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rFonts w:hint="eastAsia"/>
                <w:sz w:val="24"/>
                <w:szCs w:val="24"/>
              </w:rPr>
              <w:t>＜4000</w:t>
            </w: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p>
        </w:tc>
        <w:tc>
          <w:tcPr>
            <w:tcW w:w="3106" w:type="dxa"/>
            <w:vAlign w:val="center"/>
          </w:tcPr>
          <w:p>
            <w:pPr>
              <w:adjustRightInd w:val="0"/>
              <w:spacing w:line="240" w:lineRule="exact"/>
              <w:rPr>
                <w:sz w:val="24"/>
                <w:szCs w:val="24"/>
              </w:rPr>
            </w:pPr>
            <w:r>
              <w:rPr>
                <w:rFonts w:hint="eastAsia"/>
                <w:sz w:val="24"/>
                <w:szCs w:val="24"/>
                <w:lang w:val="zh-CN"/>
              </w:rPr>
              <w:t>《广州市博物馆规定》（广州市第十五届人民代表大会常务委员会公告第</w:t>
            </w:r>
            <w:r>
              <w:rPr>
                <w:rFonts w:hint="eastAsia"/>
                <w:sz w:val="24"/>
                <w:szCs w:val="24"/>
              </w:rPr>
              <w:t>8号</w:t>
            </w:r>
            <w:r>
              <w:rPr>
                <w:rFonts w:hint="eastAsia"/>
                <w:sz w:val="24"/>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图书馆分馆</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p>
        </w:tc>
        <w:tc>
          <w:tcPr>
            <w:tcW w:w="3106" w:type="dxa"/>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trPr>
        <w:tc>
          <w:tcPr>
            <w:tcW w:w="1271" w:type="dxa"/>
            <w:vMerge w:val="continue"/>
            <w:vAlign w:val="center"/>
          </w:tcPr>
          <w:p>
            <w:pPr>
              <w:adjustRightInd w:val="0"/>
              <w:spacing w:line="240" w:lineRule="exact"/>
              <w:jc w:val="center"/>
              <w:rPr>
                <w:sz w:val="24"/>
                <w:szCs w:val="24"/>
              </w:rPr>
            </w:pPr>
          </w:p>
        </w:tc>
        <w:tc>
          <w:tcPr>
            <w:tcW w:w="1701" w:type="dxa"/>
            <w:gridSpan w:val="2"/>
            <w:vAlign w:val="center"/>
          </w:tcPr>
          <w:p>
            <w:pPr>
              <w:adjustRightInd w:val="0"/>
              <w:spacing w:line="240" w:lineRule="exact"/>
              <w:jc w:val="center"/>
              <w:rPr>
                <w:sz w:val="24"/>
                <w:szCs w:val="24"/>
              </w:rPr>
            </w:pPr>
            <w:r>
              <w:rPr>
                <w:rFonts w:hint="eastAsia"/>
                <w:sz w:val="24"/>
                <w:szCs w:val="24"/>
              </w:rPr>
              <w:t>群众性体育运动场地（综合文化站、文体广场、文体活动中心）</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r>
              <w:rPr>
                <w:rFonts w:hint="eastAsia"/>
                <w:sz w:val="24"/>
                <w:szCs w:val="24"/>
              </w:rPr>
              <w:t>主要用于群众性文化体育健身活动，兼顾休憩和交往的功能。人均室外体育用地0.3平方米以上，人均室内建筑面积0.1平方米以上。</w:t>
            </w:r>
          </w:p>
        </w:tc>
        <w:tc>
          <w:tcPr>
            <w:tcW w:w="3106" w:type="dxa"/>
            <w:vAlign w:val="center"/>
          </w:tcPr>
          <w:p>
            <w:pPr>
              <w:adjustRightInd w:val="0"/>
              <w:spacing w:line="240" w:lineRule="exact"/>
              <w:rPr>
                <w:sz w:val="24"/>
                <w:szCs w:val="24"/>
              </w:rPr>
            </w:pPr>
            <w:r>
              <w:rPr>
                <w:sz w:val="24"/>
                <w:szCs w:val="24"/>
              </w:rPr>
              <w:t>1.</w:t>
            </w:r>
            <w:r>
              <w:rPr>
                <w:rFonts w:hint="eastAsia"/>
                <w:sz w:val="24"/>
                <w:szCs w:val="24"/>
              </w:rPr>
              <w:t>《广州市人民政府办公厅关于印发广州市创建全民运动健身模范市工作规划和实施方案的通知》（穗府办函〔2018〕176号）</w:t>
            </w:r>
          </w:p>
          <w:p>
            <w:pPr>
              <w:adjustRightInd w:val="0"/>
              <w:spacing w:line="240" w:lineRule="exact"/>
              <w:rPr>
                <w:sz w:val="24"/>
                <w:szCs w:val="24"/>
              </w:rPr>
            </w:pPr>
            <w:r>
              <w:rPr>
                <w:sz w:val="24"/>
                <w:szCs w:val="24"/>
              </w:rPr>
              <w:t>2.</w:t>
            </w:r>
            <w:r>
              <w:rPr>
                <w:rFonts w:hint="eastAsia"/>
                <w:sz w:val="24"/>
                <w:szCs w:val="24"/>
              </w:rPr>
              <w:t>《广东省综合文化站评估定级量化标准（试行版）》（粤文旅公〔2019〕1</w:t>
            </w:r>
            <w:r>
              <w:rPr>
                <w:sz w:val="24"/>
                <w:szCs w:val="24"/>
              </w:rPr>
              <w:t>28</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1271" w:type="dxa"/>
            <w:vAlign w:val="center"/>
          </w:tcPr>
          <w:p>
            <w:pPr>
              <w:adjustRightInd w:val="0"/>
              <w:spacing w:line="240" w:lineRule="exact"/>
              <w:jc w:val="center"/>
              <w:rPr>
                <w:sz w:val="24"/>
                <w:szCs w:val="24"/>
              </w:rPr>
            </w:pPr>
            <w:r>
              <w:rPr>
                <w:rFonts w:hint="eastAsia"/>
                <w:sz w:val="24"/>
                <w:szCs w:val="24"/>
              </w:rPr>
              <w:t>公园设施</w:t>
            </w:r>
          </w:p>
        </w:tc>
        <w:tc>
          <w:tcPr>
            <w:tcW w:w="1701" w:type="dxa"/>
            <w:gridSpan w:val="2"/>
            <w:vAlign w:val="center"/>
          </w:tcPr>
          <w:p>
            <w:pPr>
              <w:adjustRightInd w:val="0"/>
              <w:spacing w:line="240" w:lineRule="exact"/>
              <w:jc w:val="center"/>
              <w:rPr>
                <w:sz w:val="24"/>
                <w:szCs w:val="24"/>
              </w:rPr>
            </w:pPr>
            <w:r>
              <w:rPr>
                <w:rFonts w:hint="eastAsia"/>
                <w:sz w:val="24"/>
                <w:szCs w:val="24"/>
              </w:rPr>
              <w:t>社区公园</w:t>
            </w:r>
          </w:p>
        </w:tc>
        <w:tc>
          <w:tcPr>
            <w:tcW w:w="1871" w:type="dxa"/>
            <w:vAlign w:val="center"/>
          </w:tcPr>
          <w:p>
            <w:pPr>
              <w:adjustRightInd w:val="0"/>
              <w:spacing w:line="240" w:lineRule="exact"/>
              <w:jc w:val="center"/>
              <w:rPr>
                <w:sz w:val="24"/>
                <w:szCs w:val="24"/>
              </w:rPr>
            </w:pPr>
            <w:r>
              <w:rPr>
                <w:sz w:val="24"/>
                <w:szCs w:val="24"/>
              </w:rPr>
              <w:t>&gt;10000</w:t>
            </w:r>
          </w:p>
        </w:tc>
        <w:tc>
          <w:tcPr>
            <w:tcW w:w="1406" w:type="dxa"/>
            <w:vAlign w:val="center"/>
          </w:tcPr>
          <w:p>
            <w:pPr>
              <w:adjustRightInd w:val="0"/>
              <w:spacing w:line="240" w:lineRule="exact"/>
              <w:jc w:val="center"/>
              <w:rPr>
                <w:sz w:val="24"/>
                <w:szCs w:val="24"/>
              </w:rPr>
            </w:pP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p>
        </w:tc>
        <w:tc>
          <w:tcPr>
            <w:tcW w:w="3106" w:type="dxa"/>
            <w:vAlign w:val="center"/>
          </w:tcPr>
          <w:p>
            <w:pPr>
              <w:adjustRightInd w:val="0"/>
              <w:spacing w:line="240" w:lineRule="exact"/>
              <w:jc w:val="left"/>
              <w:rPr>
                <w:sz w:val="24"/>
                <w:szCs w:val="24"/>
              </w:rPr>
            </w:pPr>
            <w:r>
              <w:rPr>
                <w:rFonts w:hint="eastAsia"/>
                <w:sz w:val="24"/>
                <w:szCs w:val="24"/>
              </w:rPr>
              <w:t>《城市绿地分类标准》（CJJ/T85-2017）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1271" w:type="dxa"/>
            <w:vMerge w:val="restart"/>
            <w:vAlign w:val="center"/>
          </w:tcPr>
          <w:p>
            <w:pPr>
              <w:adjustRightInd w:val="0"/>
              <w:spacing w:line="240" w:lineRule="exact"/>
              <w:jc w:val="center"/>
              <w:rPr>
                <w:sz w:val="24"/>
                <w:szCs w:val="24"/>
              </w:rPr>
            </w:pPr>
            <w:r>
              <w:rPr>
                <w:rFonts w:hint="eastAsia"/>
                <w:sz w:val="24"/>
                <w:szCs w:val="24"/>
              </w:rPr>
              <w:t>市政公用设施</w:t>
            </w:r>
          </w:p>
        </w:tc>
        <w:tc>
          <w:tcPr>
            <w:tcW w:w="709" w:type="dxa"/>
            <w:vMerge w:val="restart"/>
            <w:vAlign w:val="center"/>
          </w:tcPr>
          <w:p>
            <w:pPr>
              <w:adjustRightInd w:val="0"/>
              <w:spacing w:line="240" w:lineRule="exact"/>
              <w:jc w:val="center"/>
              <w:rPr>
                <w:sz w:val="24"/>
                <w:szCs w:val="24"/>
              </w:rPr>
            </w:pPr>
            <w:r>
              <w:rPr>
                <w:rFonts w:hint="eastAsia"/>
                <w:sz w:val="24"/>
                <w:szCs w:val="24"/>
              </w:rPr>
              <w:t>公交站场</w:t>
            </w:r>
          </w:p>
        </w:tc>
        <w:tc>
          <w:tcPr>
            <w:tcW w:w="992" w:type="dxa"/>
            <w:vMerge w:val="restart"/>
            <w:vAlign w:val="center"/>
          </w:tcPr>
          <w:p>
            <w:pPr>
              <w:adjustRightInd w:val="0"/>
              <w:spacing w:line="240" w:lineRule="exact"/>
              <w:jc w:val="center"/>
              <w:rPr>
                <w:sz w:val="24"/>
                <w:szCs w:val="24"/>
              </w:rPr>
            </w:pPr>
            <w:r>
              <w:rPr>
                <w:rFonts w:hint="eastAsia"/>
                <w:sz w:val="24"/>
                <w:szCs w:val="24"/>
              </w:rPr>
              <w:t>半径</w:t>
            </w:r>
            <w:r>
              <w:rPr>
                <w:sz w:val="24"/>
                <w:szCs w:val="24"/>
              </w:rPr>
              <w:t>500m</w:t>
            </w:r>
            <w:r>
              <w:rPr>
                <w:rFonts w:hint="eastAsia"/>
                <w:sz w:val="24"/>
                <w:szCs w:val="24"/>
              </w:rPr>
              <w:t>内无轨道交通站点</w:t>
            </w:r>
          </w:p>
        </w:tc>
        <w:tc>
          <w:tcPr>
            <w:tcW w:w="1871" w:type="dxa"/>
            <w:vAlign w:val="center"/>
          </w:tcPr>
          <w:p>
            <w:pPr>
              <w:adjustRightInd w:val="0"/>
              <w:spacing w:line="240" w:lineRule="exact"/>
              <w:jc w:val="center"/>
              <w:rPr>
                <w:sz w:val="24"/>
                <w:szCs w:val="24"/>
              </w:rPr>
            </w:pPr>
            <w:r>
              <w:rPr>
                <w:sz w:val="24"/>
                <w:szCs w:val="24"/>
              </w:rPr>
              <w:t>1800</w:t>
            </w:r>
          </w:p>
          <w:p>
            <w:pPr>
              <w:adjustRightInd w:val="0"/>
              <w:spacing w:line="240" w:lineRule="exact"/>
              <w:jc w:val="center"/>
              <w:rPr>
                <w:sz w:val="24"/>
                <w:szCs w:val="24"/>
              </w:rPr>
            </w:pPr>
            <w:r>
              <w:rPr>
                <w:sz w:val="24"/>
                <w:szCs w:val="24"/>
                <w:bdr w:val="single" w:color="auto" w:sz="4" w:space="0"/>
              </w:rPr>
              <w:t>2250</w:t>
            </w:r>
          </w:p>
        </w:tc>
        <w:tc>
          <w:tcPr>
            <w:tcW w:w="1406" w:type="dxa"/>
            <w:vAlign w:val="center"/>
          </w:tcPr>
          <w:p>
            <w:pPr>
              <w:adjustRightInd w:val="0"/>
              <w:spacing w:line="240" w:lineRule="exact"/>
              <w:jc w:val="center"/>
              <w:rPr>
                <w:sz w:val="24"/>
                <w:szCs w:val="24"/>
              </w:rPr>
            </w:pPr>
            <w:r>
              <w:rPr>
                <w:sz w:val="24"/>
                <w:szCs w:val="24"/>
              </w:rPr>
              <w:t>180</w:t>
            </w:r>
          </w:p>
          <w:p>
            <w:pPr>
              <w:adjustRightInd w:val="0"/>
              <w:spacing w:line="240" w:lineRule="exact"/>
              <w:jc w:val="center"/>
              <w:rPr>
                <w:sz w:val="24"/>
                <w:szCs w:val="24"/>
              </w:rPr>
            </w:pPr>
            <w:r>
              <w:rPr>
                <w:sz w:val="24"/>
                <w:szCs w:val="24"/>
                <w:bdr w:val="single" w:color="auto" w:sz="4" w:space="0"/>
              </w:rPr>
              <w:t>225</w:t>
            </w:r>
          </w:p>
        </w:tc>
        <w:tc>
          <w:tcPr>
            <w:tcW w:w="1163" w:type="dxa"/>
            <w:vAlign w:val="center"/>
          </w:tcPr>
          <w:p>
            <w:pPr>
              <w:adjustRightInd w:val="0"/>
              <w:spacing w:line="240" w:lineRule="exact"/>
              <w:jc w:val="center"/>
              <w:rPr>
                <w:sz w:val="24"/>
                <w:szCs w:val="24"/>
              </w:rPr>
            </w:pPr>
            <w:r>
              <w:rPr>
                <w:rFonts w:hint="eastAsia"/>
                <w:sz w:val="24"/>
                <w:szCs w:val="24"/>
              </w:rPr>
              <w:t>0.7-1</w:t>
            </w:r>
          </w:p>
        </w:tc>
        <w:tc>
          <w:tcPr>
            <w:tcW w:w="3430" w:type="dxa"/>
            <w:vMerge w:val="restart"/>
            <w:vAlign w:val="center"/>
          </w:tcPr>
          <w:p>
            <w:pPr>
              <w:adjustRightInd w:val="0"/>
              <w:spacing w:line="240" w:lineRule="exact"/>
              <w:rPr>
                <w:sz w:val="24"/>
                <w:szCs w:val="24"/>
              </w:rPr>
            </w:pPr>
            <w:r>
              <w:rPr>
                <w:sz w:val="24"/>
                <w:szCs w:val="24"/>
              </w:rPr>
              <w:t>1.</w:t>
            </w:r>
            <w:r>
              <w:rPr>
                <w:rFonts w:hint="eastAsia"/>
                <w:sz w:val="24"/>
                <w:szCs w:val="24"/>
              </w:rPr>
              <w:t>配建公交站场（含首末站上落客及夜间停车等功能）除服务主体建筑公交出行需求外，还应服务城市更新项目周边</w:t>
            </w:r>
            <w:r>
              <w:rPr>
                <w:sz w:val="24"/>
                <w:szCs w:val="24"/>
              </w:rPr>
              <w:t>500</w:t>
            </w:r>
            <w:r>
              <w:rPr>
                <w:rFonts w:hint="eastAsia"/>
                <w:sz w:val="24"/>
                <w:szCs w:val="24"/>
              </w:rPr>
              <w:t>米范围的公交出行需求。</w:t>
            </w:r>
          </w:p>
          <w:p>
            <w:pPr>
              <w:adjustRightInd w:val="0"/>
              <w:spacing w:line="240" w:lineRule="exact"/>
              <w:rPr>
                <w:sz w:val="24"/>
                <w:szCs w:val="24"/>
              </w:rPr>
            </w:pPr>
            <w:r>
              <w:rPr>
                <w:sz w:val="24"/>
                <w:szCs w:val="24"/>
              </w:rPr>
              <w:t>2.</w:t>
            </w:r>
            <w:r>
              <w:rPr>
                <w:rFonts w:hint="eastAsia"/>
                <w:sz w:val="24"/>
                <w:szCs w:val="24"/>
              </w:rPr>
              <w:t>服务规模应包含城市更新单元内的人口与就业岗位数（个）之和（人）。</w:t>
            </w:r>
          </w:p>
          <w:p>
            <w:pPr>
              <w:adjustRightInd w:val="0"/>
              <w:spacing w:line="240" w:lineRule="exact"/>
              <w:rPr>
                <w:sz w:val="24"/>
                <w:szCs w:val="24"/>
              </w:rPr>
            </w:pPr>
            <w:r>
              <w:rPr>
                <w:rFonts w:hint="eastAsia"/>
                <w:sz w:val="24"/>
                <w:szCs w:val="24"/>
              </w:rPr>
              <w:t>3.带方框线的数值为中心城区以外地区采用的指标。</w:t>
            </w:r>
          </w:p>
        </w:tc>
        <w:tc>
          <w:tcPr>
            <w:tcW w:w="3106" w:type="dxa"/>
            <w:vMerge w:val="restart"/>
            <w:vAlign w:val="center"/>
          </w:tcPr>
          <w:p>
            <w:pPr>
              <w:adjustRightInd w:val="0"/>
              <w:spacing w:line="240" w:lineRule="exact"/>
              <w:rPr>
                <w:sz w:val="24"/>
                <w:szCs w:val="24"/>
              </w:rPr>
            </w:pPr>
            <w:r>
              <w:rPr>
                <w:rFonts w:hint="eastAsia"/>
                <w:sz w:val="24"/>
                <w:szCs w:val="24"/>
              </w:rPr>
              <w:t>1.《城市综合交通体系规划标准》（GB/T51328-2018）</w:t>
            </w:r>
          </w:p>
          <w:p>
            <w:pPr>
              <w:adjustRightInd w:val="0"/>
              <w:spacing w:line="240" w:lineRule="exact"/>
              <w:rPr>
                <w:sz w:val="24"/>
                <w:szCs w:val="24"/>
              </w:rPr>
            </w:pPr>
            <w:r>
              <w:rPr>
                <w:rFonts w:hint="eastAsia"/>
                <w:sz w:val="24"/>
                <w:szCs w:val="24"/>
              </w:rPr>
              <w:t>2.《城市道路公共交通站、场、厂工程设计规范》（CJJ/T 15-2011）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1271" w:type="dxa"/>
            <w:vMerge w:val="continue"/>
            <w:vAlign w:val="center"/>
          </w:tcPr>
          <w:p>
            <w:pPr>
              <w:adjustRightInd w:val="0"/>
              <w:spacing w:line="240" w:lineRule="exact"/>
              <w:jc w:val="center"/>
              <w:rPr>
                <w:sz w:val="24"/>
                <w:szCs w:val="24"/>
              </w:rPr>
            </w:pPr>
          </w:p>
        </w:tc>
        <w:tc>
          <w:tcPr>
            <w:tcW w:w="709" w:type="dxa"/>
            <w:vMerge w:val="continue"/>
            <w:vAlign w:val="center"/>
          </w:tcPr>
          <w:p>
            <w:pPr>
              <w:adjustRightInd w:val="0"/>
              <w:spacing w:line="240" w:lineRule="exact"/>
              <w:jc w:val="center"/>
              <w:rPr>
                <w:sz w:val="24"/>
                <w:szCs w:val="24"/>
              </w:rPr>
            </w:pPr>
          </w:p>
        </w:tc>
        <w:tc>
          <w:tcPr>
            <w:tcW w:w="992" w:type="dxa"/>
            <w:vMerge w:val="continue"/>
            <w:vAlign w:val="center"/>
          </w:tcPr>
          <w:p>
            <w:pPr>
              <w:adjustRightInd w:val="0"/>
              <w:spacing w:line="240" w:lineRule="exact"/>
              <w:jc w:val="center"/>
              <w:rPr>
                <w:sz w:val="24"/>
                <w:szCs w:val="24"/>
              </w:rPr>
            </w:pPr>
          </w:p>
        </w:tc>
        <w:tc>
          <w:tcPr>
            <w:tcW w:w="1871" w:type="dxa"/>
            <w:vAlign w:val="center"/>
          </w:tcPr>
          <w:p>
            <w:pPr>
              <w:adjustRightInd w:val="0"/>
              <w:spacing w:line="240" w:lineRule="exact"/>
              <w:jc w:val="center"/>
              <w:rPr>
                <w:sz w:val="24"/>
                <w:szCs w:val="24"/>
              </w:rPr>
            </w:pPr>
            <w:r>
              <w:rPr>
                <w:sz w:val="24"/>
                <w:szCs w:val="24"/>
              </w:rPr>
              <w:t>3600</w:t>
            </w:r>
          </w:p>
          <w:p>
            <w:pPr>
              <w:adjustRightInd w:val="0"/>
              <w:spacing w:line="240" w:lineRule="exact"/>
              <w:jc w:val="center"/>
              <w:rPr>
                <w:sz w:val="24"/>
                <w:szCs w:val="24"/>
              </w:rPr>
            </w:pPr>
            <w:r>
              <w:rPr>
                <w:sz w:val="24"/>
                <w:szCs w:val="24"/>
                <w:bdr w:val="single" w:color="auto" w:sz="4" w:space="0"/>
              </w:rPr>
              <w:t>4500</w:t>
            </w:r>
          </w:p>
        </w:tc>
        <w:tc>
          <w:tcPr>
            <w:tcW w:w="1406" w:type="dxa"/>
            <w:vAlign w:val="center"/>
          </w:tcPr>
          <w:p>
            <w:pPr>
              <w:adjustRightInd w:val="0"/>
              <w:spacing w:line="240" w:lineRule="exact"/>
              <w:jc w:val="center"/>
              <w:rPr>
                <w:sz w:val="24"/>
                <w:szCs w:val="24"/>
              </w:rPr>
            </w:pPr>
            <w:r>
              <w:rPr>
                <w:sz w:val="24"/>
                <w:szCs w:val="24"/>
              </w:rPr>
              <w:t>360</w:t>
            </w:r>
          </w:p>
          <w:p>
            <w:pPr>
              <w:adjustRightInd w:val="0"/>
              <w:spacing w:line="240" w:lineRule="exact"/>
              <w:jc w:val="center"/>
              <w:rPr>
                <w:sz w:val="24"/>
                <w:szCs w:val="24"/>
              </w:rPr>
            </w:pPr>
            <w:r>
              <w:rPr>
                <w:sz w:val="24"/>
                <w:szCs w:val="24"/>
                <w:bdr w:val="single" w:color="auto" w:sz="4" w:space="0"/>
              </w:rPr>
              <w:t>450</w:t>
            </w:r>
          </w:p>
        </w:tc>
        <w:tc>
          <w:tcPr>
            <w:tcW w:w="1163" w:type="dxa"/>
            <w:vAlign w:val="center"/>
          </w:tcPr>
          <w:p>
            <w:pPr>
              <w:adjustRightInd w:val="0"/>
              <w:spacing w:line="240" w:lineRule="exact"/>
              <w:jc w:val="center"/>
              <w:rPr>
                <w:sz w:val="24"/>
                <w:szCs w:val="24"/>
              </w:rPr>
            </w:pPr>
            <w:r>
              <w:rPr>
                <w:rFonts w:hint="eastAsia"/>
                <w:sz w:val="24"/>
                <w:szCs w:val="24"/>
              </w:rPr>
              <w:t>1-2</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1271" w:type="dxa"/>
            <w:vMerge w:val="continue"/>
            <w:vAlign w:val="center"/>
          </w:tcPr>
          <w:p>
            <w:pPr>
              <w:adjustRightInd w:val="0"/>
              <w:spacing w:line="240" w:lineRule="exact"/>
              <w:jc w:val="center"/>
              <w:rPr>
                <w:sz w:val="24"/>
                <w:szCs w:val="24"/>
              </w:rPr>
            </w:pPr>
          </w:p>
        </w:tc>
        <w:tc>
          <w:tcPr>
            <w:tcW w:w="709" w:type="dxa"/>
            <w:vMerge w:val="continue"/>
            <w:vAlign w:val="center"/>
          </w:tcPr>
          <w:p>
            <w:pPr>
              <w:adjustRightInd w:val="0"/>
              <w:spacing w:line="240" w:lineRule="exact"/>
              <w:jc w:val="center"/>
              <w:rPr>
                <w:sz w:val="24"/>
                <w:szCs w:val="24"/>
              </w:rPr>
            </w:pPr>
          </w:p>
        </w:tc>
        <w:tc>
          <w:tcPr>
            <w:tcW w:w="992" w:type="dxa"/>
            <w:vMerge w:val="continue"/>
            <w:vAlign w:val="center"/>
          </w:tcPr>
          <w:p>
            <w:pPr>
              <w:adjustRightInd w:val="0"/>
              <w:spacing w:line="240" w:lineRule="exact"/>
              <w:jc w:val="center"/>
              <w:rPr>
                <w:sz w:val="24"/>
                <w:szCs w:val="24"/>
              </w:rPr>
            </w:pPr>
          </w:p>
        </w:tc>
        <w:tc>
          <w:tcPr>
            <w:tcW w:w="1871" w:type="dxa"/>
            <w:vAlign w:val="center"/>
          </w:tcPr>
          <w:p>
            <w:pPr>
              <w:adjustRightInd w:val="0"/>
              <w:spacing w:line="240" w:lineRule="exact"/>
              <w:jc w:val="center"/>
              <w:rPr>
                <w:sz w:val="24"/>
                <w:szCs w:val="24"/>
              </w:rPr>
            </w:pPr>
            <w:r>
              <w:rPr>
                <w:sz w:val="24"/>
                <w:szCs w:val="24"/>
              </w:rPr>
              <w:t>6750</w:t>
            </w:r>
          </w:p>
          <w:p>
            <w:pPr>
              <w:adjustRightInd w:val="0"/>
              <w:spacing w:line="240" w:lineRule="exact"/>
              <w:jc w:val="center"/>
              <w:rPr>
                <w:sz w:val="24"/>
                <w:szCs w:val="24"/>
              </w:rPr>
            </w:pPr>
            <w:r>
              <w:rPr>
                <w:sz w:val="24"/>
                <w:szCs w:val="24"/>
                <w:bdr w:val="single" w:color="auto" w:sz="4" w:space="0"/>
              </w:rPr>
              <w:t>8250</w:t>
            </w:r>
          </w:p>
        </w:tc>
        <w:tc>
          <w:tcPr>
            <w:tcW w:w="1406" w:type="dxa"/>
            <w:vAlign w:val="center"/>
          </w:tcPr>
          <w:p>
            <w:pPr>
              <w:adjustRightInd w:val="0"/>
              <w:spacing w:line="240" w:lineRule="exact"/>
              <w:jc w:val="center"/>
              <w:rPr>
                <w:sz w:val="24"/>
                <w:szCs w:val="24"/>
              </w:rPr>
            </w:pPr>
            <w:r>
              <w:rPr>
                <w:sz w:val="24"/>
                <w:szCs w:val="24"/>
              </w:rPr>
              <w:t>675</w:t>
            </w:r>
          </w:p>
          <w:p>
            <w:pPr>
              <w:adjustRightInd w:val="0"/>
              <w:spacing w:line="240" w:lineRule="exact"/>
              <w:jc w:val="center"/>
              <w:rPr>
                <w:sz w:val="24"/>
                <w:szCs w:val="24"/>
              </w:rPr>
            </w:pPr>
            <w:r>
              <w:rPr>
                <w:sz w:val="24"/>
                <w:szCs w:val="24"/>
                <w:bdr w:val="single" w:color="auto" w:sz="4" w:space="0"/>
              </w:rPr>
              <w:t>825</w:t>
            </w:r>
          </w:p>
        </w:tc>
        <w:tc>
          <w:tcPr>
            <w:tcW w:w="1163" w:type="dxa"/>
            <w:vAlign w:val="center"/>
          </w:tcPr>
          <w:p>
            <w:pPr>
              <w:adjustRightInd w:val="0"/>
              <w:spacing w:line="240" w:lineRule="exact"/>
              <w:jc w:val="center"/>
              <w:rPr>
                <w:sz w:val="24"/>
                <w:szCs w:val="24"/>
              </w:rPr>
            </w:pPr>
            <w:r>
              <w:rPr>
                <w:rFonts w:hint="eastAsia"/>
                <w:sz w:val="24"/>
                <w:szCs w:val="24"/>
              </w:rPr>
              <w:t>2-3</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271" w:type="dxa"/>
            <w:vMerge w:val="continue"/>
            <w:vAlign w:val="center"/>
          </w:tcPr>
          <w:p>
            <w:pPr>
              <w:adjustRightInd w:val="0"/>
              <w:spacing w:line="240" w:lineRule="exact"/>
              <w:jc w:val="center"/>
              <w:rPr>
                <w:sz w:val="24"/>
                <w:szCs w:val="24"/>
              </w:rPr>
            </w:pPr>
          </w:p>
        </w:tc>
        <w:tc>
          <w:tcPr>
            <w:tcW w:w="709" w:type="dxa"/>
            <w:vMerge w:val="continue"/>
            <w:vAlign w:val="center"/>
          </w:tcPr>
          <w:p>
            <w:pPr>
              <w:adjustRightInd w:val="0"/>
              <w:spacing w:line="240" w:lineRule="exact"/>
              <w:jc w:val="center"/>
              <w:rPr>
                <w:sz w:val="24"/>
                <w:szCs w:val="24"/>
              </w:rPr>
            </w:pPr>
          </w:p>
        </w:tc>
        <w:tc>
          <w:tcPr>
            <w:tcW w:w="992" w:type="dxa"/>
            <w:vMerge w:val="continue"/>
            <w:vAlign w:val="center"/>
          </w:tcPr>
          <w:p>
            <w:pPr>
              <w:adjustRightInd w:val="0"/>
              <w:spacing w:line="240" w:lineRule="exact"/>
              <w:jc w:val="center"/>
              <w:rPr>
                <w:sz w:val="24"/>
                <w:szCs w:val="24"/>
              </w:rPr>
            </w:pPr>
          </w:p>
        </w:tc>
        <w:tc>
          <w:tcPr>
            <w:tcW w:w="1871" w:type="dxa"/>
            <w:vAlign w:val="center"/>
          </w:tcPr>
          <w:p>
            <w:pPr>
              <w:adjustRightInd w:val="0"/>
              <w:spacing w:line="240" w:lineRule="exact"/>
              <w:jc w:val="center"/>
              <w:rPr>
                <w:sz w:val="24"/>
                <w:szCs w:val="24"/>
              </w:rPr>
            </w:pPr>
            <w:r>
              <w:rPr>
                <w:sz w:val="24"/>
                <w:szCs w:val="24"/>
              </w:rPr>
              <w:t>7500</w:t>
            </w:r>
          </w:p>
          <w:p>
            <w:pPr>
              <w:adjustRightInd w:val="0"/>
              <w:spacing w:line="240" w:lineRule="exact"/>
              <w:jc w:val="center"/>
              <w:rPr>
                <w:sz w:val="24"/>
                <w:szCs w:val="24"/>
              </w:rPr>
            </w:pPr>
            <w:r>
              <w:rPr>
                <w:sz w:val="24"/>
                <w:szCs w:val="24"/>
                <w:bdr w:val="single" w:color="auto" w:sz="4" w:space="0"/>
              </w:rPr>
              <w:t>9750</w:t>
            </w:r>
          </w:p>
        </w:tc>
        <w:tc>
          <w:tcPr>
            <w:tcW w:w="1406" w:type="dxa"/>
            <w:vAlign w:val="center"/>
          </w:tcPr>
          <w:p>
            <w:pPr>
              <w:adjustRightInd w:val="0"/>
              <w:spacing w:line="240" w:lineRule="exact"/>
              <w:jc w:val="center"/>
              <w:rPr>
                <w:sz w:val="24"/>
                <w:szCs w:val="24"/>
              </w:rPr>
            </w:pPr>
            <w:r>
              <w:rPr>
                <w:sz w:val="24"/>
                <w:szCs w:val="24"/>
              </w:rPr>
              <w:t>750</w:t>
            </w:r>
          </w:p>
          <w:p>
            <w:pPr>
              <w:adjustRightInd w:val="0"/>
              <w:spacing w:line="240" w:lineRule="exact"/>
              <w:jc w:val="center"/>
              <w:rPr>
                <w:sz w:val="24"/>
                <w:szCs w:val="24"/>
              </w:rPr>
            </w:pPr>
            <w:r>
              <w:rPr>
                <w:sz w:val="24"/>
                <w:szCs w:val="24"/>
                <w:bdr w:val="single" w:color="auto" w:sz="4" w:space="0"/>
              </w:rPr>
              <w:t>975</w:t>
            </w:r>
          </w:p>
        </w:tc>
        <w:tc>
          <w:tcPr>
            <w:tcW w:w="1163" w:type="dxa"/>
            <w:vAlign w:val="center"/>
          </w:tcPr>
          <w:p>
            <w:pPr>
              <w:adjustRightInd w:val="0"/>
              <w:spacing w:line="240" w:lineRule="exact"/>
              <w:jc w:val="center"/>
              <w:rPr>
                <w:sz w:val="24"/>
                <w:szCs w:val="24"/>
              </w:rPr>
            </w:pPr>
            <w:r>
              <w:rPr>
                <w:sz w:val="24"/>
                <w:szCs w:val="24"/>
              </w:rPr>
              <w:t>&gt;</w:t>
            </w:r>
            <w:r>
              <w:rPr>
                <w:rFonts w:hint="eastAsia"/>
                <w:sz w:val="24"/>
                <w:szCs w:val="24"/>
              </w:rPr>
              <w:t>3</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1271" w:type="dxa"/>
            <w:vMerge w:val="restart"/>
            <w:vAlign w:val="center"/>
          </w:tcPr>
          <w:p>
            <w:pPr>
              <w:adjustRightInd w:val="0"/>
              <w:spacing w:line="240" w:lineRule="exact"/>
              <w:jc w:val="center"/>
              <w:rPr>
                <w:sz w:val="24"/>
                <w:szCs w:val="24"/>
              </w:rPr>
            </w:pPr>
            <w:r>
              <w:rPr>
                <w:rFonts w:hint="eastAsia"/>
                <w:sz w:val="24"/>
                <w:szCs w:val="24"/>
              </w:rPr>
              <w:t>市政公用设施</w:t>
            </w:r>
          </w:p>
        </w:tc>
        <w:tc>
          <w:tcPr>
            <w:tcW w:w="709" w:type="dxa"/>
            <w:vMerge w:val="restart"/>
            <w:vAlign w:val="center"/>
          </w:tcPr>
          <w:p>
            <w:pPr>
              <w:adjustRightInd w:val="0"/>
              <w:spacing w:line="240" w:lineRule="exact"/>
              <w:jc w:val="center"/>
              <w:rPr>
                <w:sz w:val="24"/>
                <w:szCs w:val="24"/>
              </w:rPr>
            </w:pPr>
            <w:r>
              <w:rPr>
                <w:rFonts w:hint="eastAsia"/>
                <w:sz w:val="24"/>
                <w:szCs w:val="24"/>
              </w:rPr>
              <w:t>公交站场</w:t>
            </w:r>
          </w:p>
        </w:tc>
        <w:tc>
          <w:tcPr>
            <w:tcW w:w="992" w:type="dxa"/>
            <w:vMerge w:val="restart"/>
            <w:vAlign w:val="center"/>
          </w:tcPr>
          <w:p>
            <w:pPr>
              <w:adjustRightInd w:val="0"/>
              <w:spacing w:line="240" w:lineRule="exact"/>
              <w:jc w:val="center"/>
              <w:rPr>
                <w:sz w:val="24"/>
                <w:szCs w:val="24"/>
              </w:rPr>
            </w:pPr>
            <w:r>
              <w:rPr>
                <w:rFonts w:hint="eastAsia"/>
                <w:sz w:val="24"/>
                <w:szCs w:val="24"/>
              </w:rPr>
              <w:t>半径</w:t>
            </w:r>
            <w:r>
              <w:rPr>
                <w:sz w:val="24"/>
                <w:szCs w:val="24"/>
              </w:rPr>
              <w:t>500</w:t>
            </w:r>
            <w:r>
              <w:rPr>
                <w:rFonts w:hint="eastAsia"/>
                <w:sz w:val="24"/>
                <w:szCs w:val="24"/>
              </w:rPr>
              <w:t>米内有轨道交通站点</w:t>
            </w:r>
          </w:p>
        </w:tc>
        <w:tc>
          <w:tcPr>
            <w:tcW w:w="1871" w:type="dxa"/>
            <w:vAlign w:val="center"/>
          </w:tcPr>
          <w:p>
            <w:pPr>
              <w:adjustRightInd w:val="0"/>
              <w:spacing w:line="240" w:lineRule="exact"/>
              <w:jc w:val="center"/>
              <w:rPr>
                <w:sz w:val="24"/>
                <w:szCs w:val="24"/>
              </w:rPr>
            </w:pPr>
            <w:r>
              <w:rPr>
                <w:sz w:val="24"/>
                <w:szCs w:val="24"/>
              </w:rPr>
              <w:t>1800</w:t>
            </w:r>
          </w:p>
          <w:p>
            <w:pPr>
              <w:adjustRightInd w:val="0"/>
              <w:spacing w:line="240" w:lineRule="exact"/>
              <w:jc w:val="center"/>
              <w:rPr>
                <w:sz w:val="24"/>
                <w:szCs w:val="24"/>
              </w:rPr>
            </w:pPr>
            <w:r>
              <w:rPr>
                <w:sz w:val="24"/>
                <w:szCs w:val="24"/>
                <w:bdr w:val="single" w:color="auto" w:sz="4" w:space="0"/>
              </w:rPr>
              <w:t>2250</w:t>
            </w:r>
          </w:p>
        </w:tc>
        <w:tc>
          <w:tcPr>
            <w:tcW w:w="1406" w:type="dxa"/>
            <w:vAlign w:val="center"/>
          </w:tcPr>
          <w:p>
            <w:pPr>
              <w:adjustRightInd w:val="0"/>
              <w:spacing w:line="240" w:lineRule="exact"/>
              <w:jc w:val="center"/>
              <w:rPr>
                <w:sz w:val="24"/>
                <w:szCs w:val="24"/>
              </w:rPr>
            </w:pPr>
            <w:r>
              <w:rPr>
                <w:sz w:val="24"/>
                <w:szCs w:val="24"/>
              </w:rPr>
              <w:t>180</w:t>
            </w:r>
          </w:p>
          <w:p>
            <w:pPr>
              <w:adjustRightInd w:val="0"/>
              <w:spacing w:line="240" w:lineRule="exact"/>
              <w:jc w:val="center"/>
              <w:rPr>
                <w:sz w:val="24"/>
                <w:szCs w:val="24"/>
              </w:rPr>
            </w:pPr>
            <w:r>
              <w:rPr>
                <w:sz w:val="24"/>
                <w:szCs w:val="24"/>
                <w:bdr w:val="single" w:color="auto" w:sz="4" w:space="0"/>
              </w:rPr>
              <w:t>225</w:t>
            </w:r>
          </w:p>
        </w:tc>
        <w:tc>
          <w:tcPr>
            <w:tcW w:w="1163" w:type="dxa"/>
            <w:vAlign w:val="center"/>
          </w:tcPr>
          <w:p>
            <w:pPr>
              <w:adjustRightInd w:val="0"/>
              <w:spacing w:line="240" w:lineRule="exact"/>
              <w:jc w:val="center"/>
              <w:rPr>
                <w:sz w:val="24"/>
                <w:szCs w:val="24"/>
              </w:rPr>
            </w:pPr>
            <w:r>
              <w:rPr>
                <w:rFonts w:hint="eastAsia"/>
                <w:sz w:val="24"/>
                <w:szCs w:val="24"/>
              </w:rPr>
              <w:t>1-2</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271" w:type="dxa"/>
            <w:vMerge w:val="continue"/>
            <w:vAlign w:val="center"/>
          </w:tcPr>
          <w:p>
            <w:pPr>
              <w:adjustRightInd w:val="0"/>
              <w:spacing w:line="240" w:lineRule="exact"/>
              <w:jc w:val="center"/>
              <w:rPr>
                <w:sz w:val="24"/>
                <w:szCs w:val="24"/>
              </w:rPr>
            </w:pPr>
          </w:p>
        </w:tc>
        <w:tc>
          <w:tcPr>
            <w:tcW w:w="709" w:type="dxa"/>
            <w:vMerge w:val="continue"/>
            <w:vAlign w:val="center"/>
          </w:tcPr>
          <w:p>
            <w:pPr>
              <w:adjustRightInd w:val="0"/>
              <w:spacing w:line="240" w:lineRule="exact"/>
              <w:jc w:val="center"/>
              <w:rPr>
                <w:sz w:val="24"/>
                <w:szCs w:val="24"/>
              </w:rPr>
            </w:pPr>
          </w:p>
        </w:tc>
        <w:tc>
          <w:tcPr>
            <w:tcW w:w="992" w:type="dxa"/>
            <w:vMerge w:val="continue"/>
            <w:vAlign w:val="center"/>
          </w:tcPr>
          <w:p>
            <w:pPr>
              <w:adjustRightInd w:val="0"/>
              <w:spacing w:line="240" w:lineRule="exact"/>
              <w:jc w:val="center"/>
              <w:rPr>
                <w:sz w:val="24"/>
                <w:szCs w:val="24"/>
              </w:rPr>
            </w:pPr>
          </w:p>
        </w:tc>
        <w:tc>
          <w:tcPr>
            <w:tcW w:w="1871" w:type="dxa"/>
            <w:vAlign w:val="center"/>
          </w:tcPr>
          <w:p>
            <w:pPr>
              <w:adjustRightInd w:val="0"/>
              <w:spacing w:line="240" w:lineRule="exact"/>
              <w:jc w:val="center"/>
              <w:rPr>
                <w:sz w:val="24"/>
                <w:szCs w:val="24"/>
              </w:rPr>
            </w:pPr>
            <w:r>
              <w:rPr>
                <w:sz w:val="24"/>
                <w:szCs w:val="24"/>
              </w:rPr>
              <w:t>5250</w:t>
            </w:r>
          </w:p>
          <w:p>
            <w:pPr>
              <w:adjustRightInd w:val="0"/>
              <w:spacing w:line="240" w:lineRule="exact"/>
              <w:jc w:val="center"/>
              <w:rPr>
                <w:sz w:val="24"/>
                <w:szCs w:val="24"/>
              </w:rPr>
            </w:pPr>
            <w:r>
              <w:rPr>
                <w:sz w:val="24"/>
                <w:szCs w:val="24"/>
                <w:bdr w:val="single" w:color="auto" w:sz="4" w:space="0"/>
              </w:rPr>
              <w:t>6750</w:t>
            </w:r>
          </w:p>
        </w:tc>
        <w:tc>
          <w:tcPr>
            <w:tcW w:w="1406" w:type="dxa"/>
            <w:vAlign w:val="center"/>
          </w:tcPr>
          <w:p>
            <w:pPr>
              <w:adjustRightInd w:val="0"/>
              <w:spacing w:line="240" w:lineRule="exact"/>
              <w:jc w:val="center"/>
              <w:rPr>
                <w:sz w:val="24"/>
                <w:szCs w:val="24"/>
              </w:rPr>
            </w:pPr>
            <w:r>
              <w:rPr>
                <w:sz w:val="24"/>
                <w:szCs w:val="24"/>
              </w:rPr>
              <w:t>525</w:t>
            </w:r>
          </w:p>
          <w:p>
            <w:pPr>
              <w:adjustRightInd w:val="0"/>
              <w:spacing w:line="240" w:lineRule="exact"/>
              <w:jc w:val="center"/>
              <w:rPr>
                <w:sz w:val="24"/>
                <w:szCs w:val="24"/>
              </w:rPr>
            </w:pPr>
            <w:r>
              <w:rPr>
                <w:sz w:val="24"/>
                <w:szCs w:val="24"/>
                <w:bdr w:val="single" w:color="auto" w:sz="4" w:space="0"/>
              </w:rPr>
              <w:t>675</w:t>
            </w:r>
          </w:p>
        </w:tc>
        <w:tc>
          <w:tcPr>
            <w:tcW w:w="1163" w:type="dxa"/>
            <w:vAlign w:val="center"/>
          </w:tcPr>
          <w:p>
            <w:pPr>
              <w:adjustRightInd w:val="0"/>
              <w:spacing w:line="240" w:lineRule="exact"/>
              <w:jc w:val="center"/>
              <w:rPr>
                <w:sz w:val="24"/>
                <w:szCs w:val="24"/>
              </w:rPr>
            </w:pPr>
            <w:r>
              <w:rPr>
                <w:rFonts w:hint="eastAsia"/>
                <w:sz w:val="24"/>
                <w:szCs w:val="24"/>
              </w:rPr>
              <w:t>2-3</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1271" w:type="dxa"/>
            <w:vMerge w:val="continue"/>
            <w:vAlign w:val="center"/>
          </w:tcPr>
          <w:p>
            <w:pPr>
              <w:adjustRightInd w:val="0"/>
              <w:spacing w:line="240" w:lineRule="exact"/>
              <w:rPr>
                <w:sz w:val="24"/>
                <w:szCs w:val="24"/>
              </w:rPr>
            </w:pPr>
          </w:p>
        </w:tc>
        <w:tc>
          <w:tcPr>
            <w:tcW w:w="709" w:type="dxa"/>
            <w:vMerge w:val="continue"/>
            <w:tcBorders>
              <w:bottom w:val="single" w:color="auto" w:sz="4" w:space="0"/>
            </w:tcBorders>
            <w:vAlign w:val="center"/>
          </w:tcPr>
          <w:p>
            <w:pPr>
              <w:adjustRightInd w:val="0"/>
              <w:spacing w:line="240" w:lineRule="exact"/>
              <w:rPr>
                <w:sz w:val="24"/>
                <w:szCs w:val="24"/>
              </w:rPr>
            </w:pPr>
          </w:p>
        </w:tc>
        <w:tc>
          <w:tcPr>
            <w:tcW w:w="992" w:type="dxa"/>
            <w:vMerge w:val="continue"/>
            <w:tcBorders>
              <w:bottom w:val="single" w:color="auto" w:sz="4" w:space="0"/>
            </w:tcBorders>
            <w:vAlign w:val="center"/>
          </w:tcPr>
          <w:p>
            <w:pPr>
              <w:adjustRightInd w:val="0"/>
              <w:spacing w:line="240" w:lineRule="exact"/>
              <w:jc w:val="center"/>
              <w:rPr>
                <w:sz w:val="24"/>
                <w:szCs w:val="24"/>
              </w:rPr>
            </w:pPr>
          </w:p>
        </w:tc>
        <w:tc>
          <w:tcPr>
            <w:tcW w:w="1871" w:type="dxa"/>
            <w:vAlign w:val="center"/>
          </w:tcPr>
          <w:p>
            <w:pPr>
              <w:adjustRightInd w:val="0"/>
              <w:spacing w:line="240" w:lineRule="exact"/>
              <w:jc w:val="center"/>
              <w:rPr>
                <w:sz w:val="24"/>
                <w:szCs w:val="24"/>
              </w:rPr>
            </w:pPr>
            <w:r>
              <w:rPr>
                <w:sz w:val="24"/>
                <w:szCs w:val="24"/>
              </w:rPr>
              <w:t>6000</w:t>
            </w:r>
          </w:p>
          <w:p>
            <w:pPr>
              <w:adjustRightInd w:val="0"/>
              <w:spacing w:line="240" w:lineRule="exact"/>
              <w:jc w:val="center"/>
              <w:rPr>
                <w:sz w:val="24"/>
                <w:szCs w:val="24"/>
              </w:rPr>
            </w:pPr>
            <w:r>
              <w:rPr>
                <w:sz w:val="24"/>
                <w:szCs w:val="24"/>
                <w:bdr w:val="single" w:color="auto" w:sz="4" w:space="0"/>
              </w:rPr>
              <w:t>8250</w:t>
            </w:r>
          </w:p>
        </w:tc>
        <w:tc>
          <w:tcPr>
            <w:tcW w:w="1406" w:type="dxa"/>
            <w:vAlign w:val="center"/>
          </w:tcPr>
          <w:p>
            <w:pPr>
              <w:adjustRightInd w:val="0"/>
              <w:spacing w:line="240" w:lineRule="exact"/>
              <w:jc w:val="center"/>
              <w:rPr>
                <w:sz w:val="24"/>
                <w:szCs w:val="24"/>
              </w:rPr>
            </w:pPr>
            <w:r>
              <w:rPr>
                <w:sz w:val="24"/>
                <w:szCs w:val="24"/>
              </w:rPr>
              <w:t>600</w:t>
            </w:r>
          </w:p>
          <w:p>
            <w:pPr>
              <w:adjustRightInd w:val="0"/>
              <w:spacing w:line="240" w:lineRule="exact"/>
              <w:jc w:val="center"/>
              <w:rPr>
                <w:sz w:val="24"/>
                <w:szCs w:val="24"/>
              </w:rPr>
            </w:pPr>
            <w:r>
              <w:rPr>
                <w:sz w:val="24"/>
                <w:szCs w:val="24"/>
                <w:bdr w:val="single" w:color="auto" w:sz="4" w:space="0"/>
              </w:rPr>
              <w:t>825</w:t>
            </w:r>
          </w:p>
        </w:tc>
        <w:tc>
          <w:tcPr>
            <w:tcW w:w="1163" w:type="dxa"/>
            <w:vAlign w:val="center"/>
          </w:tcPr>
          <w:p>
            <w:pPr>
              <w:adjustRightInd w:val="0"/>
              <w:spacing w:line="240" w:lineRule="exact"/>
              <w:jc w:val="center"/>
              <w:rPr>
                <w:sz w:val="24"/>
                <w:szCs w:val="24"/>
              </w:rPr>
            </w:pPr>
            <w:r>
              <w:rPr>
                <w:sz w:val="24"/>
                <w:szCs w:val="24"/>
              </w:rPr>
              <w:t>&gt;</w:t>
            </w:r>
            <w:r>
              <w:rPr>
                <w:rFonts w:hint="eastAsia"/>
                <w:sz w:val="24"/>
                <w:szCs w:val="24"/>
              </w:rPr>
              <w:t>3</w:t>
            </w:r>
          </w:p>
        </w:tc>
        <w:tc>
          <w:tcPr>
            <w:tcW w:w="3430" w:type="dxa"/>
            <w:vMerge w:val="continue"/>
          </w:tcPr>
          <w:p>
            <w:pPr>
              <w:adjustRightInd w:val="0"/>
              <w:spacing w:line="240" w:lineRule="exact"/>
              <w:rPr>
                <w:sz w:val="24"/>
                <w:szCs w:val="24"/>
              </w:rPr>
            </w:pPr>
          </w:p>
        </w:tc>
        <w:tc>
          <w:tcPr>
            <w:tcW w:w="3106"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1271" w:type="dxa"/>
            <w:vMerge w:val="continue"/>
            <w:vAlign w:val="center"/>
          </w:tcPr>
          <w:p>
            <w:pPr>
              <w:adjustRightInd w:val="0"/>
              <w:spacing w:line="240" w:lineRule="exact"/>
              <w:jc w:val="center"/>
              <w:rPr>
                <w:sz w:val="24"/>
                <w:szCs w:val="24"/>
              </w:rPr>
            </w:pPr>
          </w:p>
        </w:tc>
        <w:tc>
          <w:tcPr>
            <w:tcW w:w="1701" w:type="dxa"/>
            <w:gridSpan w:val="2"/>
            <w:tcBorders>
              <w:bottom w:val="single" w:color="auto" w:sz="4" w:space="0"/>
            </w:tcBorders>
            <w:vAlign w:val="center"/>
          </w:tcPr>
          <w:p>
            <w:pPr>
              <w:adjustRightInd w:val="0"/>
              <w:spacing w:line="240" w:lineRule="exact"/>
              <w:jc w:val="center"/>
              <w:rPr>
                <w:rFonts w:ascii="仿宋_GB2312"/>
                <w:kern w:val="0"/>
                <w:sz w:val="24"/>
                <w:szCs w:val="24"/>
              </w:rPr>
            </w:pPr>
            <w:r>
              <w:rPr>
                <w:rFonts w:hint="eastAsia" w:ascii="仿宋_GB2312"/>
                <w:kern w:val="0"/>
                <w:sz w:val="24"/>
                <w:szCs w:val="24"/>
              </w:rPr>
              <w:t>可回收物</w:t>
            </w:r>
          </w:p>
          <w:p>
            <w:pPr>
              <w:adjustRightInd w:val="0"/>
              <w:spacing w:line="240" w:lineRule="exact"/>
              <w:jc w:val="center"/>
              <w:rPr>
                <w:sz w:val="24"/>
                <w:szCs w:val="24"/>
              </w:rPr>
            </w:pPr>
            <w:r>
              <w:rPr>
                <w:rFonts w:hint="eastAsia" w:ascii="仿宋_GB2312"/>
                <w:kern w:val="0"/>
                <w:sz w:val="24"/>
                <w:szCs w:val="24"/>
              </w:rPr>
              <w:t>中转站</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rFonts w:hint="eastAsia" w:ascii="仿宋_GB2312"/>
                <w:sz w:val="24"/>
                <w:szCs w:val="24"/>
              </w:rPr>
              <w:t>≥</w:t>
            </w:r>
            <w:r>
              <w:rPr>
                <w:sz w:val="24"/>
                <w:szCs w:val="24"/>
              </w:rPr>
              <w:t>200</w:t>
            </w:r>
          </w:p>
        </w:tc>
        <w:tc>
          <w:tcPr>
            <w:tcW w:w="1163" w:type="dxa"/>
            <w:vAlign w:val="center"/>
          </w:tcPr>
          <w:p>
            <w:pPr>
              <w:adjustRightInd w:val="0"/>
              <w:spacing w:line="240" w:lineRule="exact"/>
              <w:jc w:val="center"/>
              <w:rPr>
                <w:sz w:val="24"/>
                <w:szCs w:val="24"/>
              </w:rPr>
            </w:pPr>
          </w:p>
        </w:tc>
        <w:tc>
          <w:tcPr>
            <w:tcW w:w="3430" w:type="dxa"/>
            <w:vAlign w:val="center"/>
          </w:tcPr>
          <w:p>
            <w:pPr>
              <w:spacing w:line="240" w:lineRule="exact"/>
              <w:jc w:val="left"/>
              <w:rPr>
                <w:rFonts w:ascii="仿宋_GB2312"/>
                <w:sz w:val="24"/>
                <w:szCs w:val="24"/>
              </w:rPr>
            </w:pPr>
            <w:r>
              <w:rPr>
                <w:rFonts w:hint="eastAsia"/>
                <w:sz w:val="24"/>
                <w:szCs w:val="24"/>
              </w:rPr>
              <w:t>作业</w:t>
            </w:r>
            <w:r>
              <w:rPr>
                <w:sz w:val="24"/>
                <w:szCs w:val="24"/>
              </w:rPr>
              <w:t>面积不小于</w:t>
            </w:r>
            <w:r>
              <w:rPr>
                <w:rFonts w:hint="eastAsia"/>
                <w:sz w:val="24"/>
                <w:szCs w:val="24"/>
              </w:rPr>
              <w:t>200平方米</w:t>
            </w:r>
            <w:r>
              <w:rPr>
                <w:sz w:val="24"/>
                <w:szCs w:val="24"/>
              </w:rPr>
              <w:t>，</w:t>
            </w:r>
            <w:r>
              <w:rPr>
                <w:rFonts w:hint="eastAsia"/>
                <w:sz w:val="24"/>
                <w:szCs w:val="24"/>
              </w:rPr>
              <w:t>规模较大的街镇可根据实际情况扩大面积。</w:t>
            </w:r>
          </w:p>
        </w:tc>
        <w:tc>
          <w:tcPr>
            <w:tcW w:w="3106" w:type="dxa"/>
            <w:vAlign w:val="center"/>
          </w:tcPr>
          <w:p>
            <w:pPr>
              <w:adjustRightInd w:val="0"/>
              <w:spacing w:line="240" w:lineRule="exact"/>
              <w:rPr>
                <w:sz w:val="24"/>
                <w:szCs w:val="24"/>
              </w:rPr>
            </w:pPr>
            <w:r>
              <w:rPr>
                <w:rFonts w:hint="eastAsia" w:ascii="仿宋_GB2312"/>
                <w:sz w:val="24"/>
                <w:szCs w:val="24"/>
              </w:rPr>
              <w:t>《再生资源回收站点建设管理规范》</w:t>
            </w:r>
            <w:r>
              <w:rPr>
                <w:sz w:val="24"/>
                <w:szCs w:val="24"/>
              </w:rPr>
              <w:t>（SB/T 10719-2012）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1271" w:type="dxa"/>
            <w:vMerge w:val="continue"/>
            <w:vAlign w:val="center"/>
          </w:tcPr>
          <w:p>
            <w:pPr>
              <w:adjustRightInd w:val="0"/>
              <w:spacing w:line="240" w:lineRule="exact"/>
              <w:jc w:val="center"/>
              <w:rPr>
                <w:sz w:val="24"/>
                <w:szCs w:val="24"/>
              </w:rPr>
            </w:pPr>
          </w:p>
        </w:tc>
        <w:tc>
          <w:tcPr>
            <w:tcW w:w="1701" w:type="dxa"/>
            <w:gridSpan w:val="2"/>
            <w:tcBorders>
              <w:bottom w:val="single" w:color="auto" w:sz="4" w:space="0"/>
            </w:tcBorders>
            <w:vAlign w:val="center"/>
          </w:tcPr>
          <w:p>
            <w:pPr>
              <w:adjustRightInd w:val="0"/>
              <w:spacing w:line="240" w:lineRule="exact"/>
              <w:jc w:val="center"/>
              <w:rPr>
                <w:rFonts w:ascii="仿宋_GB2312"/>
                <w:kern w:val="0"/>
                <w:sz w:val="24"/>
                <w:szCs w:val="24"/>
              </w:rPr>
            </w:pPr>
            <w:r>
              <w:rPr>
                <w:rFonts w:hint="eastAsia"/>
                <w:sz w:val="24"/>
                <w:szCs w:val="24"/>
              </w:rPr>
              <w:t>环境卫生车辆停车场</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rFonts w:ascii="仿宋_GB2312"/>
                <w:sz w:val="24"/>
                <w:szCs w:val="24"/>
              </w:rPr>
            </w:pP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rPr>
                <w:sz w:val="24"/>
                <w:szCs w:val="24"/>
              </w:rPr>
            </w:pPr>
            <w:r>
              <w:rPr>
                <w:rFonts w:hint="eastAsia"/>
                <w:sz w:val="24"/>
                <w:szCs w:val="24"/>
              </w:rPr>
              <w:t>环境卫生车辆数可按</w:t>
            </w:r>
            <w:r>
              <w:rPr>
                <w:sz w:val="24"/>
                <w:szCs w:val="24"/>
              </w:rPr>
              <w:t>2.5-5辆/万人估算，用地指标为50-150</w:t>
            </w:r>
            <w:r>
              <w:rPr>
                <w:rFonts w:hint="eastAsia"/>
                <w:sz w:val="24"/>
                <w:szCs w:val="24"/>
              </w:rPr>
              <w:t>平方米</w:t>
            </w:r>
            <w:r>
              <w:rPr>
                <w:sz w:val="24"/>
                <w:szCs w:val="24"/>
              </w:rPr>
              <w:t>/辆，环境卫生车辆鼓励采用新能源汽车，并在环境卫生车辆停车场内设置相应的能源供给设施。</w:t>
            </w:r>
          </w:p>
        </w:tc>
        <w:tc>
          <w:tcPr>
            <w:tcW w:w="3106" w:type="dxa"/>
            <w:vAlign w:val="center"/>
          </w:tcPr>
          <w:p>
            <w:pPr>
              <w:adjustRightInd w:val="0"/>
              <w:spacing w:line="240" w:lineRule="exact"/>
              <w:rPr>
                <w:rFonts w:ascii="仿宋_GB2312"/>
                <w:sz w:val="24"/>
                <w:szCs w:val="24"/>
              </w:rPr>
            </w:pPr>
            <w:r>
              <w:rPr>
                <w:rFonts w:hint="eastAsia"/>
                <w:sz w:val="24"/>
                <w:szCs w:val="24"/>
              </w:rPr>
              <w:t>《城市环境卫生设施规划标准》（</w:t>
            </w:r>
            <w:r>
              <w:rPr>
                <w:sz w:val="24"/>
                <w:szCs w:val="24"/>
              </w:rPr>
              <w:t>GBT 50337-2018</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trPr>
        <w:tc>
          <w:tcPr>
            <w:tcW w:w="1271" w:type="dxa"/>
            <w:vAlign w:val="center"/>
          </w:tcPr>
          <w:p>
            <w:pPr>
              <w:adjustRightInd w:val="0"/>
              <w:spacing w:line="240" w:lineRule="exact"/>
              <w:jc w:val="center"/>
              <w:rPr>
                <w:sz w:val="24"/>
                <w:szCs w:val="24"/>
              </w:rPr>
            </w:pPr>
            <w:r>
              <w:rPr>
                <w:rFonts w:hint="eastAsia"/>
                <w:sz w:val="24"/>
                <w:szCs w:val="24"/>
              </w:rPr>
              <w:t>福利设施</w:t>
            </w:r>
          </w:p>
        </w:tc>
        <w:tc>
          <w:tcPr>
            <w:tcW w:w="1701" w:type="dxa"/>
            <w:gridSpan w:val="2"/>
            <w:tcBorders>
              <w:bottom w:val="single" w:color="auto" w:sz="4" w:space="0"/>
            </w:tcBorders>
            <w:vAlign w:val="center"/>
          </w:tcPr>
          <w:p>
            <w:pPr>
              <w:adjustRightInd w:val="0"/>
              <w:spacing w:line="240" w:lineRule="exact"/>
              <w:jc w:val="center"/>
              <w:rPr>
                <w:sz w:val="24"/>
                <w:szCs w:val="24"/>
              </w:rPr>
            </w:pPr>
            <w:r>
              <w:rPr>
                <w:rFonts w:hint="eastAsia"/>
                <w:sz w:val="24"/>
                <w:szCs w:val="24"/>
              </w:rPr>
              <w:t>镇街综合养老服务中心（颐康中心）</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rFonts w:ascii="仿宋_GB2312"/>
                <w:sz w:val="24"/>
                <w:szCs w:val="24"/>
              </w:rPr>
            </w:pPr>
            <w:r>
              <w:rPr>
                <w:rFonts w:hint="eastAsia" w:ascii="仿宋_GB2312"/>
                <w:sz w:val="24"/>
                <w:szCs w:val="24"/>
              </w:rPr>
              <w:t>3000-4900</w:t>
            </w:r>
          </w:p>
        </w:tc>
        <w:tc>
          <w:tcPr>
            <w:tcW w:w="1163" w:type="dxa"/>
            <w:vAlign w:val="center"/>
          </w:tcPr>
          <w:p>
            <w:pPr>
              <w:adjustRightInd w:val="0"/>
              <w:spacing w:line="240" w:lineRule="exact"/>
              <w:jc w:val="center"/>
              <w:rPr>
                <w:sz w:val="24"/>
                <w:szCs w:val="24"/>
              </w:rPr>
            </w:pPr>
          </w:p>
        </w:tc>
        <w:tc>
          <w:tcPr>
            <w:tcW w:w="3430" w:type="dxa"/>
            <w:vAlign w:val="center"/>
          </w:tcPr>
          <w:p>
            <w:pPr>
              <w:adjustRightInd w:val="0"/>
              <w:spacing w:line="240" w:lineRule="exact"/>
              <w:jc w:val="left"/>
              <w:rPr>
                <w:sz w:val="24"/>
                <w:szCs w:val="24"/>
              </w:rPr>
            </w:pPr>
            <w:r>
              <w:rPr>
                <w:rFonts w:hint="eastAsia"/>
                <w:sz w:val="24"/>
                <w:szCs w:val="24"/>
              </w:rPr>
              <w:t>每处建筑面积</w:t>
            </w:r>
            <w:r>
              <w:rPr>
                <w:sz w:val="24"/>
                <w:szCs w:val="24"/>
              </w:rPr>
              <w:t>3000-4900</w:t>
            </w:r>
            <w:r>
              <w:rPr>
                <w:rFonts w:hint="eastAsia"/>
                <w:sz w:val="24"/>
                <w:szCs w:val="24"/>
              </w:rPr>
              <w:t>平方米，统筹街道级老年人福利院、老年人服务中心以及老年大学教学点功能。</w:t>
            </w:r>
          </w:p>
          <w:p>
            <w:pPr>
              <w:adjustRightInd w:val="0"/>
              <w:spacing w:line="240" w:lineRule="exact"/>
              <w:rPr>
                <w:sz w:val="24"/>
                <w:szCs w:val="24"/>
              </w:rPr>
            </w:pPr>
            <w:r>
              <w:rPr>
                <w:rFonts w:hint="eastAsia"/>
                <w:sz w:val="24"/>
                <w:szCs w:val="24"/>
              </w:rPr>
              <w:t>应设置在交通便利、日照充足、通风良好、相对独立且便于老年人使用的位置。宜设置在社区中心的相对独立楼层，不得设置在地下室、半地下室；应远离污染源、噪声源、危险品生产储运、垃圾站、殡仪馆等邻避设施；在二层及以上楼层设置的，应设置无障碍电梯，且至少</w:t>
            </w:r>
            <w:r>
              <w:rPr>
                <w:sz w:val="24"/>
                <w:szCs w:val="24"/>
              </w:rPr>
              <w:t xml:space="preserve"> 1</w:t>
            </w:r>
            <w:r>
              <w:rPr>
                <w:rFonts w:hint="eastAsia"/>
                <w:sz w:val="24"/>
                <w:szCs w:val="24"/>
              </w:rPr>
              <w:t>台为医用电梯。</w:t>
            </w:r>
          </w:p>
        </w:tc>
        <w:tc>
          <w:tcPr>
            <w:tcW w:w="3106" w:type="dxa"/>
            <w:vAlign w:val="center"/>
          </w:tcPr>
          <w:p>
            <w:pPr>
              <w:numPr>
                <w:ilvl w:val="255"/>
                <w:numId w:val="0"/>
              </w:numPr>
              <w:adjustRightInd w:val="0"/>
              <w:spacing w:line="240" w:lineRule="exact"/>
              <w:rPr>
                <w:sz w:val="24"/>
                <w:szCs w:val="24"/>
              </w:rPr>
            </w:pPr>
            <w:r>
              <w:rPr>
                <w:rFonts w:hint="eastAsia"/>
                <w:sz w:val="24"/>
                <w:szCs w:val="24"/>
              </w:rPr>
              <w:t>1.《国家积极应对人口老龄化中长期规划》</w:t>
            </w:r>
          </w:p>
          <w:p>
            <w:pPr>
              <w:numPr>
                <w:ilvl w:val="255"/>
                <w:numId w:val="0"/>
              </w:numPr>
              <w:adjustRightInd w:val="0"/>
              <w:spacing w:line="240" w:lineRule="exact"/>
              <w:rPr>
                <w:sz w:val="24"/>
                <w:szCs w:val="24"/>
              </w:rPr>
            </w:pPr>
            <w:r>
              <w:rPr>
                <w:rFonts w:hint="eastAsia"/>
                <w:sz w:val="24"/>
                <w:szCs w:val="24"/>
              </w:rPr>
              <w:t>2.《国务院办公厅关于推进养老服务发展的意见》〔国办发〔2019〕5号）</w:t>
            </w:r>
          </w:p>
          <w:p>
            <w:pPr>
              <w:numPr>
                <w:ilvl w:val="255"/>
                <w:numId w:val="0"/>
              </w:numPr>
              <w:adjustRightInd w:val="0"/>
              <w:spacing w:line="240" w:lineRule="exact"/>
              <w:rPr>
                <w:sz w:val="24"/>
                <w:szCs w:val="24"/>
              </w:rPr>
            </w:pPr>
            <w:r>
              <w:rPr>
                <w:rFonts w:hint="eastAsia"/>
                <w:sz w:val="24"/>
                <w:szCs w:val="24"/>
              </w:rPr>
              <w:t>3.《中共广州市委全面深化改革委员会关于印发广州市街镇综合养老服务中心（颐康中心）建设提升三年行动方案(2021-2023年）的通知》</w:t>
            </w:r>
          </w:p>
          <w:p>
            <w:pPr>
              <w:numPr>
                <w:ilvl w:val="255"/>
                <w:numId w:val="0"/>
              </w:numPr>
              <w:adjustRightInd w:val="0"/>
              <w:spacing w:line="240" w:lineRule="exact"/>
              <w:rPr>
                <w:sz w:val="24"/>
                <w:szCs w:val="24"/>
              </w:rPr>
            </w:pPr>
            <w:r>
              <w:rPr>
                <w:rFonts w:hint="eastAsia"/>
                <w:sz w:val="24"/>
                <w:szCs w:val="24"/>
              </w:rPr>
              <w:t>4.《广州市支持社区养老服务设施规划建设和使用管理十条措施的通知》（穗民规宇〔2021〕11号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4" w:hRule="atLeast"/>
        </w:trPr>
        <w:tc>
          <w:tcPr>
            <w:tcW w:w="1271" w:type="dxa"/>
            <w:vAlign w:val="center"/>
          </w:tcPr>
          <w:p>
            <w:pPr>
              <w:adjustRightInd w:val="0"/>
              <w:spacing w:line="240" w:lineRule="exact"/>
              <w:jc w:val="center"/>
              <w:rPr>
                <w:sz w:val="24"/>
                <w:szCs w:val="24"/>
              </w:rPr>
            </w:pPr>
            <w:r>
              <w:rPr>
                <w:rFonts w:hint="eastAsia"/>
                <w:sz w:val="24"/>
                <w:szCs w:val="24"/>
              </w:rPr>
              <w:t>商业服务设施</w:t>
            </w:r>
          </w:p>
        </w:tc>
        <w:tc>
          <w:tcPr>
            <w:tcW w:w="1701" w:type="dxa"/>
            <w:gridSpan w:val="2"/>
            <w:tcBorders>
              <w:bottom w:val="single" w:color="auto" w:sz="4" w:space="0"/>
            </w:tcBorders>
            <w:vAlign w:val="center"/>
          </w:tcPr>
          <w:p>
            <w:pPr>
              <w:adjustRightInd w:val="0"/>
              <w:spacing w:line="240" w:lineRule="exact"/>
              <w:jc w:val="center"/>
              <w:rPr>
                <w:sz w:val="24"/>
                <w:szCs w:val="24"/>
              </w:rPr>
            </w:pPr>
            <w:r>
              <w:rPr>
                <w:rFonts w:hint="eastAsia"/>
                <w:sz w:val="24"/>
                <w:szCs w:val="24"/>
              </w:rPr>
              <w:t>物流配送站</w:t>
            </w:r>
          </w:p>
        </w:tc>
        <w:tc>
          <w:tcPr>
            <w:tcW w:w="1871" w:type="dxa"/>
            <w:vAlign w:val="center"/>
          </w:tcPr>
          <w:p>
            <w:pPr>
              <w:adjustRightInd w:val="0"/>
              <w:spacing w:line="240" w:lineRule="exact"/>
              <w:jc w:val="center"/>
              <w:rPr>
                <w:sz w:val="24"/>
                <w:szCs w:val="24"/>
              </w:rPr>
            </w:pPr>
          </w:p>
        </w:tc>
        <w:tc>
          <w:tcPr>
            <w:tcW w:w="1406" w:type="dxa"/>
            <w:vAlign w:val="center"/>
          </w:tcPr>
          <w:p>
            <w:pPr>
              <w:adjustRightInd w:val="0"/>
              <w:spacing w:line="240" w:lineRule="exact"/>
              <w:jc w:val="center"/>
              <w:rPr>
                <w:sz w:val="24"/>
                <w:szCs w:val="24"/>
              </w:rPr>
            </w:pPr>
            <w:r>
              <w:rPr>
                <w:sz w:val="24"/>
                <w:szCs w:val="24"/>
              </w:rPr>
              <w:t>300-500</w:t>
            </w:r>
          </w:p>
        </w:tc>
        <w:tc>
          <w:tcPr>
            <w:tcW w:w="1163" w:type="dxa"/>
            <w:vAlign w:val="center"/>
          </w:tcPr>
          <w:p>
            <w:pPr>
              <w:adjustRightInd w:val="0"/>
              <w:spacing w:line="240" w:lineRule="exact"/>
              <w:jc w:val="center"/>
              <w:rPr>
                <w:sz w:val="24"/>
                <w:szCs w:val="24"/>
              </w:rPr>
            </w:pPr>
            <w:r>
              <w:rPr>
                <w:rFonts w:hint="eastAsia"/>
                <w:sz w:val="24"/>
                <w:szCs w:val="24"/>
              </w:rPr>
              <w:t>3</w:t>
            </w:r>
            <w:r>
              <w:rPr>
                <w:sz w:val="24"/>
                <w:szCs w:val="24"/>
              </w:rPr>
              <w:t>.5-10</w:t>
            </w:r>
          </w:p>
        </w:tc>
        <w:tc>
          <w:tcPr>
            <w:tcW w:w="3430" w:type="dxa"/>
            <w:vAlign w:val="center"/>
          </w:tcPr>
          <w:p>
            <w:pPr>
              <w:adjustRightInd w:val="0"/>
              <w:spacing w:line="240" w:lineRule="exact"/>
              <w:rPr>
                <w:sz w:val="24"/>
                <w:szCs w:val="24"/>
              </w:rPr>
            </w:pPr>
            <w:r>
              <w:rPr>
                <w:rFonts w:hint="eastAsia"/>
                <w:sz w:val="24"/>
                <w:szCs w:val="24"/>
              </w:rPr>
              <w:t>宜设置在建筑首层，运输车辆易于进出的相对独立地段，尽量依靠主、次干道，减少扰民。应有方便的对外出入口，且出入口设置应适应货流进出需求。站前应至少保留100平方米货物装卸场地，以降低对周边社区交通的影响程度。</w:t>
            </w:r>
          </w:p>
        </w:tc>
        <w:tc>
          <w:tcPr>
            <w:tcW w:w="3106" w:type="dxa"/>
            <w:vAlign w:val="center"/>
          </w:tcPr>
          <w:p>
            <w:pPr>
              <w:adjustRightInd w:val="0"/>
              <w:spacing w:line="240" w:lineRule="exact"/>
              <w:rPr>
                <w:sz w:val="24"/>
                <w:szCs w:val="24"/>
              </w:rPr>
            </w:pPr>
            <w:r>
              <w:rPr>
                <w:rFonts w:hint="eastAsia"/>
                <w:sz w:val="24"/>
                <w:szCs w:val="24"/>
              </w:rPr>
              <w:t>《中华人民共和国邮政行业标准快递营业场所设计基本要求》（YZ/T 0137-2015）</w:t>
            </w:r>
          </w:p>
        </w:tc>
      </w:tr>
    </w:tbl>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附表3</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社区中心配置标准</w:t>
      </w:r>
    </w:p>
    <w:tbl>
      <w:tblPr>
        <w:tblStyle w:val="7"/>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4"/>
        <w:gridCol w:w="1285"/>
        <w:gridCol w:w="983"/>
        <w:gridCol w:w="3953"/>
        <w:gridCol w:w="1717"/>
        <w:gridCol w:w="1418"/>
        <w:gridCol w:w="1275"/>
        <w:gridCol w:w="85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blHeader/>
        </w:trPr>
        <w:tc>
          <w:tcPr>
            <w:tcW w:w="3572" w:type="dxa"/>
            <w:gridSpan w:val="3"/>
            <w:vAlign w:val="center"/>
          </w:tcPr>
          <w:p>
            <w:pPr>
              <w:adjustRightInd w:val="0"/>
              <w:spacing w:line="240" w:lineRule="exact"/>
              <w:jc w:val="center"/>
              <w:rPr>
                <w:b/>
                <w:bCs/>
                <w:sz w:val="24"/>
                <w:szCs w:val="24"/>
              </w:rPr>
            </w:pPr>
            <w:r>
              <w:rPr>
                <w:rFonts w:hint="eastAsia"/>
                <w:b/>
                <w:bCs/>
                <w:sz w:val="24"/>
                <w:szCs w:val="24"/>
              </w:rPr>
              <w:t>适宜配置</w:t>
            </w:r>
            <w:r>
              <w:rPr>
                <w:b/>
                <w:bCs/>
                <w:sz w:val="24"/>
                <w:szCs w:val="24"/>
              </w:rPr>
              <w:t>设施</w:t>
            </w:r>
          </w:p>
        </w:tc>
        <w:tc>
          <w:tcPr>
            <w:tcW w:w="3953" w:type="dxa"/>
            <w:vMerge w:val="restart"/>
            <w:vAlign w:val="center"/>
          </w:tcPr>
          <w:p>
            <w:pPr>
              <w:adjustRightInd w:val="0"/>
              <w:spacing w:line="240" w:lineRule="exact"/>
              <w:jc w:val="center"/>
              <w:rPr>
                <w:b/>
                <w:bCs/>
                <w:sz w:val="24"/>
                <w:szCs w:val="24"/>
              </w:rPr>
            </w:pPr>
            <w:r>
              <w:rPr>
                <w:rFonts w:hint="eastAsia"/>
                <w:b/>
                <w:bCs/>
                <w:sz w:val="24"/>
                <w:szCs w:val="24"/>
              </w:rPr>
              <w:t>配置</w:t>
            </w:r>
            <w:r>
              <w:rPr>
                <w:b/>
                <w:bCs/>
                <w:sz w:val="24"/>
                <w:szCs w:val="24"/>
              </w:rPr>
              <w:t>要求</w:t>
            </w:r>
          </w:p>
        </w:tc>
        <w:tc>
          <w:tcPr>
            <w:tcW w:w="1717" w:type="dxa"/>
            <w:vMerge w:val="restart"/>
            <w:vAlign w:val="center"/>
          </w:tcPr>
          <w:p>
            <w:pPr>
              <w:adjustRightInd w:val="0"/>
              <w:spacing w:line="240" w:lineRule="exact"/>
              <w:jc w:val="center"/>
              <w:rPr>
                <w:b/>
                <w:bCs/>
                <w:sz w:val="24"/>
                <w:szCs w:val="24"/>
              </w:rPr>
            </w:pPr>
            <w:r>
              <w:rPr>
                <w:rFonts w:hint="eastAsia"/>
                <w:b/>
                <w:bCs/>
                <w:sz w:val="24"/>
                <w:szCs w:val="24"/>
              </w:rPr>
              <w:t>建筑</w:t>
            </w:r>
            <w:r>
              <w:rPr>
                <w:b/>
                <w:bCs/>
                <w:sz w:val="24"/>
                <w:szCs w:val="24"/>
              </w:rPr>
              <w:t>面积</w:t>
            </w:r>
          </w:p>
          <w:p>
            <w:pPr>
              <w:adjustRightInd w:val="0"/>
              <w:spacing w:line="240" w:lineRule="exact"/>
              <w:jc w:val="center"/>
              <w:rPr>
                <w:b/>
                <w:bCs/>
                <w:sz w:val="24"/>
                <w:szCs w:val="24"/>
              </w:rPr>
            </w:pPr>
            <w:r>
              <w:rPr>
                <w:b/>
                <w:bCs/>
                <w:sz w:val="24"/>
                <w:szCs w:val="24"/>
              </w:rPr>
              <w:t>（</w:t>
            </w:r>
            <w:r>
              <w:rPr>
                <w:rFonts w:hint="eastAsia"/>
                <w:b/>
                <w:bCs/>
                <w:sz w:val="24"/>
                <w:szCs w:val="24"/>
              </w:rPr>
              <w:t>平方</w:t>
            </w:r>
            <w:r>
              <w:rPr>
                <w:b/>
                <w:bCs/>
                <w:sz w:val="24"/>
                <w:szCs w:val="24"/>
              </w:rPr>
              <w:t>米）</w:t>
            </w:r>
          </w:p>
        </w:tc>
        <w:tc>
          <w:tcPr>
            <w:tcW w:w="1418" w:type="dxa"/>
            <w:vMerge w:val="restart"/>
            <w:vAlign w:val="center"/>
          </w:tcPr>
          <w:p>
            <w:pPr>
              <w:adjustRightInd w:val="0"/>
              <w:spacing w:line="240" w:lineRule="exact"/>
              <w:jc w:val="center"/>
              <w:rPr>
                <w:b/>
                <w:bCs/>
                <w:sz w:val="24"/>
                <w:szCs w:val="24"/>
              </w:rPr>
            </w:pPr>
            <w:r>
              <w:rPr>
                <w:rFonts w:hint="eastAsia"/>
                <w:b/>
                <w:bCs/>
                <w:sz w:val="24"/>
                <w:szCs w:val="24"/>
              </w:rPr>
              <w:t>总</w:t>
            </w:r>
            <w:r>
              <w:rPr>
                <w:b/>
                <w:bCs/>
                <w:sz w:val="24"/>
                <w:szCs w:val="24"/>
              </w:rPr>
              <w:t>用地规模</w:t>
            </w:r>
          </w:p>
          <w:p>
            <w:pPr>
              <w:adjustRightInd w:val="0"/>
              <w:spacing w:line="240" w:lineRule="exact"/>
              <w:jc w:val="center"/>
              <w:rPr>
                <w:b/>
                <w:bCs/>
                <w:sz w:val="24"/>
                <w:szCs w:val="24"/>
              </w:rPr>
            </w:pPr>
            <w:r>
              <w:rPr>
                <w:rFonts w:hint="eastAsia"/>
                <w:b/>
                <w:bCs/>
                <w:sz w:val="24"/>
                <w:szCs w:val="24"/>
              </w:rPr>
              <w:t>(平方米)</w:t>
            </w:r>
          </w:p>
        </w:tc>
        <w:tc>
          <w:tcPr>
            <w:tcW w:w="1275" w:type="dxa"/>
            <w:vMerge w:val="restart"/>
            <w:vAlign w:val="center"/>
          </w:tcPr>
          <w:p>
            <w:pPr>
              <w:adjustRightInd w:val="0"/>
              <w:spacing w:line="240" w:lineRule="exact"/>
              <w:jc w:val="center"/>
              <w:rPr>
                <w:b/>
                <w:bCs/>
                <w:sz w:val="24"/>
                <w:szCs w:val="24"/>
              </w:rPr>
            </w:pPr>
            <w:r>
              <w:rPr>
                <w:rFonts w:hint="eastAsia"/>
                <w:b/>
                <w:bCs/>
                <w:sz w:val="24"/>
                <w:szCs w:val="24"/>
              </w:rPr>
              <w:t>总建筑面积</w:t>
            </w:r>
          </w:p>
          <w:p>
            <w:pPr>
              <w:adjustRightInd w:val="0"/>
              <w:spacing w:line="240" w:lineRule="exact"/>
              <w:jc w:val="center"/>
              <w:rPr>
                <w:b/>
                <w:bCs/>
                <w:sz w:val="24"/>
                <w:szCs w:val="24"/>
              </w:rPr>
            </w:pPr>
            <w:r>
              <w:rPr>
                <w:rFonts w:hint="eastAsia"/>
                <w:b/>
                <w:bCs/>
                <w:sz w:val="24"/>
                <w:szCs w:val="24"/>
              </w:rPr>
              <w:t>(平方</w:t>
            </w:r>
            <w:r>
              <w:rPr>
                <w:b/>
                <w:bCs/>
                <w:sz w:val="24"/>
                <w:szCs w:val="24"/>
              </w:rPr>
              <w:t>米</w:t>
            </w:r>
            <w:r>
              <w:rPr>
                <w:rFonts w:hint="eastAsia"/>
                <w:b/>
                <w:bCs/>
                <w:sz w:val="24"/>
                <w:szCs w:val="24"/>
              </w:rPr>
              <w:t>)</w:t>
            </w:r>
          </w:p>
        </w:tc>
        <w:tc>
          <w:tcPr>
            <w:tcW w:w="851" w:type="dxa"/>
            <w:vMerge w:val="restart"/>
            <w:vAlign w:val="center"/>
          </w:tcPr>
          <w:p>
            <w:pPr>
              <w:adjustRightInd w:val="0"/>
              <w:spacing w:line="240" w:lineRule="exact"/>
              <w:jc w:val="center"/>
              <w:rPr>
                <w:b/>
                <w:bCs/>
                <w:sz w:val="24"/>
                <w:szCs w:val="24"/>
              </w:rPr>
            </w:pPr>
            <w:r>
              <w:rPr>
                <w:rFonts w:hint="eastAsia"/>
                <w:b/>
                <w:bCs/>
                <w:sz w:val="24"/>
                <w:szCs w:val="24"/>
              </w:rPr>
              <w:t>服务</w:t>
            </w:r>
          </w:p>
          <w:p>
            <w:pPr>
              <w:adjustRightInd w:val="0"/>
              <w:spacing w:line="240" w:lineRule="exact"/>
              <w:jc w:val="center"/>
              <w:rPr>
                <w:b/>
                <w:bCs/>
                <w:sz w:val="24"/>
                <w:szCs w:val="24"/>
              </w:rPr>
            </w:pPr>
            <w:r>
              <w:rPr>
                <w:b/>
                <w:bCs/>
                <w:sz w:val="24"/>
                <w:szCs w:val="24"/>
              </w:rPr>
              <w:t>人口</w:t>
            </w:r>
          </w:p>
          <w:p>
            <w:pPr>
              <w:adjustRightInd w:val="0"/>
              <w:spacing w:line="240" w:lineRule="exact"/>
              <w:jc w:val="center"/>
              <w:rPr>
                <w:b/>
                <w:bCs/>
                <w:sz w:val="24"/>
                <w:szCs w:val="24"/>
              </w:rPr>
            </w:pPr>
            <w:r>
              <w:rPr>
                <w:rFonts w:hint="eastAsia"/>
                <w:b/>
                <w:bCs/>
                <w:sz w:val="24"/>
                <w:szCs w:val="24"/>
              </w:rPr>
              <w:t>(万人)</w:t>
            </w:r>
          </w:p>
        </w:tc>
        <w:tc>
          <w:tcPr>
            <w:tcW w:w="1101" w:type="dxa"/>
            <w:vMerge w:val="restart"/>
            <w:vAlign w:val="center"/>
          </w:tcPr>
          <w:p>
            <w:pPr>
              <w:adjustRightInd w:val="0"/>
              <w:spacing w:line="240" w:lineRule="exact"/>
              <w:jc w:val="center"/>
              <w:rPr>
                <w:b/>
                <w:bCs/>
                <w:sz w:val="24"/>
                <w:szCs w:val="24"/>
              </w:rPr>
            </w:pPr>
            <w:r>
              <w:rPr>
                <w:rFonts w:hint="eastAsia"/>
                <w:b/>
                <w:bCs/>
                <w:sz w:val="24"/>
                <w:szCs w:val="24"/>
              </w:rPr>
              <w:t>服务半径</w:t>
            </w:r>
          </w:p>
          <w:p>
            <w:pPr>
              <w:adjustRightInd w:val="0"/>
              <w:spacing w:line="240" w:lineRule="exact"/>
              <w:jc w:val="center"/>
              <w:rPr>
                <w:b/>
                <w:bCs/>
                <w:sz w:val="24"/>
                <w:szCs w:val="24"/>
              </w:rPr>
            </w:pPr>
            <w:r>
              <w:rPr>
                <w:rFonts w:hint="eastAsia"/>
                <w:b/>
                <w:bCs/>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0" w:hRule="atLeast"/>
          <w:tblHeader/>
        </w:trPr>
        <w:tc>
          <w:tcPr>
            <w:tcW w:w="1304" w:type="dxa"/>
            <w:vAlign w:val="center"/>
          </w:tcPr>
          <w:p>
            <w:pPr>
              <w:adjustRightInd w:val="0"/>
              <w:spacing w:line="240" w:lineRule="exact"/>
              <w:jc w:val="center"/>
              <w:rPr>
                <w:b/>
                <w:bCs/>
                <w:sz w:val="24"/>
                <w:szCs w:val="24"/>
              </w:rPr>
            </w:pPr>
            <w:r>
              <w:rPr>
                <w:rFonts w:hint="eastAsia"/>
                <w:b/>
                <w:bCs/>
                <w:sz w:val="24"/>
                <w:szCs w:val="24"/>
              </w:rPr>
              <w:t>设施</w:t>
            </w:r>
            <w:r>
              <w:rPr>
                <w:b/>
                <w:bCs/>
                <w:sz w:val="24"/>
                <w:szCs w:val="24"/>
              </w:rPr>
              <w:t>类型</w:t>
            </w:r>
          </w:p>
        </w:tc>
        <w:tc>
          <w:tcPr>
            <w:tcW w:w="2268" w:type="dxa"/>
            <w:gridSpan w:val="2"/>
            <w:vAlign w:val="center"/>
          </w:tcPr>
          <w:p>
            <w:pPr>
              <w:adjustRightInd w:val="0"/>
              <w:spacing w:line="240" w:lineRule="exact"/>
              <w:jc w:val="center"/>
              <w:rPr>
                <w:b/>
                <w:bCs/>
                <w:sz w:val="24"/>
                <w:szCs w:val="24"/>
              </w:rPr>
            </w:pPr>
            <w:r>
              <w:rPr>
                <w:rFonts w:hint="eastAsia"/>
                <w:b/>
                <w:bCs/>
                <w:sz w:val="24"/>
                <w:szCs w:val="24"/>
              </w:rPr>
              <w:t>设施名称</w:t>
            </w:r>
          </w:p>
        </w:tc>
        <w:tc>
          <w:tcPr>
            <w:tcW w:w="3953" w:type="dxa"/>
            <w:vMerge w:val="continue"/>
            <w:vAlign w:val="center"/>
          </w:tcPr>
          <w:p>
            <w:pPr>
              <w:adjustRightInd w:val="0"/>
              <w:spacing w:line="240" w:lineRule="exact"/>
              <w:jc w:val="center"/>
              <w:rPr>
                <w:b/>
                <w:bCs/>
                <w:sz w:val="24"/>
                <w:szCs w:val="24"/>
              </w:rPr>
            </w:pPr>
          </w:p>
        </w:tc>
        <w:tc>
          <w:tcPr>
            <w:tcW w:w="1717" w:type="dxa"/>
            <w:vMerge w:val="continue"/>
            <w:vAlign w:val="center"/>
          </w:tcPr>
          <w:p>
            <w:pPr>
              <w:adjustRightInd w:val="0"/>
              <w:spacing w:line="240" w:lineRule="exact"/>
              <w:jc w:val="center"/>
              <w:rPr>
                <w:b/>
                <w:bCs/>
                <w:sz w:val="24"/>
                <w:szCs w:val="24"/>
              </w:rPr>
            </w:pPr>
          </w:p>
        </w:tc>
        <w:tc>
          <w:tcPr>
            <w:tcW w:w="1418" w:type="dxa"/>
            <w:vMerge w:val="continue"/>
            <w:vAlign w:val="center"/>
          </w:tcPr>
          <w:p>
            <w:pPr>
              <w:adjustRightInd w:val="0"/>
              <w:spacing w:line="240" w:lineRule="exact"/>
              <w:jc w:val="center"/>
              <w:rPr>
                <w:b/>
                <w:bCs/>
                <w:sz w:val="24"/>
                <w:szCs w:val="24"/>
              </w:rPr>
            </w:pPr>
          </w:p>
        </w:tc>
        <w:tc>
          <w:tcPr>
            <w:tcW w:w="1275" w:type="dxa"/>
            <w:vMerge w:val="continue"/>
            <w:vAlign w:val="center"/>
          </w:tcPr>
          <w:p>
            <w:pPr>
              <w:adjustRightInd w:val="0"/>
              <w:spacing w:line="240" w:lineRule="exact"/>
              <w:jc w:val="center"/>
              <w:rPr>
                <w:b/>
                <w:bCs/>
                <w:sz w:val="24"/>
                <w:szCs w:val="24"/>
              </w:rPr>
            </w:pPr>
          </w:p>
        </w:tc>
        <w:tc>
          <w:tcPr>
            <w:tcW w:w="851" w:type="dxa"/>
            <w:vMerge w:val="continue"/>
            <w:vAlign w:val="center"/>
          </w:tcPr>
          <w:p>
            <w:pPr>
              <w:adjustRightInd w:val="0"/>
              <w:spacing w:line="240" w:lineRule="exact"/>
              <w:jc w:val="center"/>
              <w:rPr>
                <w:b/>
                <w:bCs/>
                <w:sz w:val="24"/>
                <w:szCs w:val="24"/>
              </w:rPr>
            </w:pPr>
          </w:p>
        </w:tc>
        <w:tc>
          <w:tcPr>
            <w:tcW w:w="1101" w:type="dxa"/>
            <w:vMerge w:val="continue"/>
            <w:vAlign w:val="center"/>
          </w:tcPr>
          <w:p>
            <w:pPr>
              <w:adjustRightInd w:val="0"/>
              <w:spacing w:line="24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9" w:hRule="atLeast"/>
        </w:trPr>
        <w:tc>
          <w:tcPr>
            <w:tcW w:w="1304" w:type="dxa"/>
            <w:vMerge w:val="restart"/>
            <w:vAlign w:val="center"/>
          </w:tcPr>
          <w:p>
            <w:pPr>
              <w:adjustRightInd w:val="0"/>
              <w:spacing w:line="240" w:lineRule="exact"/>
              <w:jc w:val="center"/>
              <w:rPr>
                <w:sz w:val="24"/>
                <w:szCs w:val="24"/>
              </w:rPr>
            </w:pPr>
            <w:r>
              <w:rPr>
                <w:rFonts w:hint="eastAsia"/>
                <w:sz w:val="24"/>
                <w:szCs w:val="24"/>
              </w:rPr>
              <w:t>行政管理</w:t>
            </w:r>
          </w:p>
          <w:p>
            <w:pPr>
              <w:adjustRightInd w:val="0"/>
              <w:spacing w:line="240" w:lineRule="exact"/>
              <w:jc w:val="center"/>
              <w:rPr>
                <w:sz w:val="24"/>
                <w:szCs w:val="24"/>
              </w:rPr>
            </w:pPr>
            <w:r>
              <w:rPr>
                <w:rFonts w:hint="eastAsia"/>
                <w:sz w:val="24"/>
                <w:szCs w:val="24"/>
              </w:rPr>
              <w:t>设施</w:t>
            </w:r>
          </w:p>
        </w:tc>
        <w:tc>
          <w:tcPr>
            <w:tcW w:w="2268" w:type="dxa"/>
            <w:gridSpan w:val="2"/>
            <w:vAlign w:val="center"/>
          </w:tcPr>
          <w:p>
            <w:pPr>
              <w:adjustRightInd w:val="0"/>
              <w:spacing w:line="240" w:lineRule="exact"/>
              <w:jc w:val="center"/>
              <w:rPr>
                <w:sz w:val="24"/>
                <w:szCs w:val="24"/>
              </w:rPr>
            </w:pPr>
            <w:r>
              <w:rPr>
                <w:rFonts w:hint="eastAsia"/>
                <w:sz w:val="24"/>
                <w:szCs w:val="24"/>
              </w:rPr>
              <w:t>社区居委会</w:t>
            </w:r>
          </w:p>
        </w:tc>
        <w:tc>
          <w:tcPr>
            <w:tcW w:w="3953" w:type="dxa"/>
            <w:vAlign w:val="center"/>
          </w:tcPr>
          <w:p>
            <w:pPr>
              <w:adjustRightInd w:val="0"/>
              <w:spacing w:line="240" w:lineRule="exact"/>
              <w:jc w:val="left"/>
              <w:rPr>
                <w:sz w:val="24"/>
                <w:szCs w:val="24"/>
              </w:rPr>
            </w:pPr>
            <w:r>
              <w:rPr>
                <w:rFonts w:hint="eastAsia"/>
                <w:sz w:val="24"/>
                <w:szCs w:val="24"/>
              </w:rPr>
              <w:t>应设于建筑首层。</w:t>
            </w:r>
          </w:p>
        </w:tc>
        <w:tc>
          <w:tcPr>
            <w:tcW w:w="1717" w:type="dxa"/>
            <w:vAlign w:val="center"/>
          </w:tcPr>
          <w:p>
            <w:pPr>
              <w:adjustRightInd w:val="0"/>
              <w:spacing w:line="240" w:lineRule="exact"/>
              <w:jc w:val="center"/>
              <w:rPr>
                <w:sz w:val="24"/>
                <w:szCs w:val="24"/>
              </w:rPr>
            </w:pPr>
            <w:r>
              <w:rPr>
                <w:sz w:val="24"/>
                <w:szCs w:val="24"/>
              </w:rPr>
              <w:t>200</w:t>
            </w:r>
          </w:p>
        </w:tc>
        <w:tc>
          <w:tcPr>
            <w:tcW w:w="1418" w:type="dxa"/>
            <w:vMerge w:val="restart"/>
            <w:vAlign w:val="center"/>
          </w:tcPr>
          <w:p>
            <w:pPr>
              <w:adjustRightInd w:val="0"/>
              <w:spacing w:line="240" w:lineRule="exact"/>
              <w:jc w:val="center"/>
              <w:rPr>
                <w:sz w:val="24"/>
                <w:szCs w:val="24"/>
              </w:rPr>
            </w:pPr>
            <w:r>
              <w:rPr>
                <w:sz w:val="24"/>
                <w:szCs w:val="24"/>
              </w:rPr>
              <w:t>6000-22500</w:t>
            </w:r>
          </w:p>
        </w:tc>
        <w:tc>
          <w:tcPr>
            <w:tcW w:w="1275" w:type="dxa"/>
            <w:vMerge w:val="restart"/>
            <w:vAlign w:val="center"/>
          </w:tcPr>
          <w:p>
            <w:pPr>
              <w:adjustRightInd w:val="0"/>
              <w:spacing w:line="240" w:lineRule="exact"/>
              <w:jc w:val="center"/>
              <w:rPr>
                <w:sz w:val="24"/>
                <w:szCs w:val="24"/>
              </w:rPr>
            </w:pPr>
            <w:r>
              <w:rPr>
                <w:rFonts w:hint="eastAsia"/>
                <w:sz w:val="24"/>
                <w:szCs w:val="24"/>
              </w:rPr>
              <w:t>20000</w:t>
            </w:r>
            <w:r>
              <w:rPr>
                <w:sz w:val="24"/>
                <w:szCs w:val="24"/>
              </w:rPr>
              <w:t>-</w:t>
            </w:r>
          </w:p>
          <w:p>
            <w:pPr>
              <w:adjustRightInd w:val="0"/>
              <w:spacing w:line="240" w:lineRule="exact"/>
              <w:jc w:val="center"/>
              <w:rPr>
                <w:sz w:val="24"/>
                <w:szCs w:val="24"/>
              </w:rPr>
            </w:pPr>
            <w:r>
              <w:rPr>
                <w:rFonts w:hint="eastAsia"/>
                <w:sz w:val="24"/>
                <w:szCs w:val="24"/>
              </w:rPr>
              <w:t>30000</w:t>
            </w:r>
          </w:p>
        </w:tc>
        <w:tc>
          <w:tcPr>
            <w:tcW w:w="851" w:type="dxa"/>
            <w:vMerge w:val="restart"/>
            <w:vAlign w:val="center"/>
          </w:tcPr>
          <w:p>
            <w:pPr>
              <w:adjustRightInd w:val="0"/>
              <w:spacing w:line="240" w:lineRule="exact"/>
              <w:jc w:val="center"/>
              <w:rPr>
                <w:sz w:val="24"/>
                <w:szCs w:val="24"/>
              </w:rPr>
            </w:pPr>
            <w:r>
              <w:rPr>
                <w:sz w:val="24"/>
                <w:szCs w:val="24"/>
              </w:rPr>
              <w:t>3-10</w:t>
            </w:r>
          </w:p>
        </w:tc>
        <w:tc>
          <w:tcPr>
            <w:tcW w:w="1101" w:type="dxa"/>
            <w:vMerge w:val="restart"/>
            <w:vAlign w:val="center"/>
          </w:tcPr>
          <w:p>
            <w:pPr>
              <w:adjustRightInd w:val="0"/>
              <w:spacing w:line="240" w:lineRule="exact"/>
              <w:jc w:val="center"/>
              <w:rPr>
                <w:sz w:val="24"/>
                <w:szCs w:val="24"/>
              </w:rPr>
            </w:pPr>
            <w:r>
              <w:rPr>
                <w:sz w:val="24"/>
                <w:szCs w:val="24"/>
              </w:rPr>
              <w:t>800-1000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社区议事厅</w:t>
            </w:r>
          </w:p>
        </w:tc>
        <w:tc>
          <w:tcPr>
            <w:tcW w:w="3953" w:type="dxa"/>
            <w:vAlign w:val="center"/>
          </w:tcPr>
          <w:p>
            <w:pPr>
              <w:adjustRightInd w:val="0"/>
              <w:spacing w:line="240" w:lineRule="exact"/>
              <w:jc w:val="left"/>
              <w:rPr>
                <w:sz w:val="24"/>
                <w:szCs w:val="24"/>
              </w:rPr>
            </w:pPr>
            <w:r>
              <w:rPr>
                <w:rFonts w:hint="eastAsia"/>
                <w:sz w:val="24"/>
                <w:szCs w:val="24"/>
              </w:rPr>
              <w:t>宜与社区居委会集中设置。</w:t>
            </w:r>
          </w:p>
        </w:tc>
        <w:tc>
          <w:tcPr>
            <w:tcW w:w="1717" w:type="dxa"/>
            <w:vAlign w:val="center"/>
          </w:tcPr>
          <w:p>
            <w:pPr>
              <w:adjustRightInd w:val="0"/>
              <w:spacing w:line="240" w:lineRule="exact"/>
              <w:jc w:val="center"/>
              <w:rPr>
                <w:sz w:val="24"/>
                <w:szCs w:val="24"/>
              </w:rPr>
            </w:pPr>
            <w:r>
              <w:rPr>
                <w:rFonts w:hint="eastAsia"/>
                <w:sz w:val="24"/>
                <w:szCs w:val="24"/>
              </w:rPr>
              <w:t>100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5"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党群服务站</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sz w:val="24"/>
                <w:szCs w:val="24"/>
              </w:rPr>
              <w:t>1000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3"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社区服务站</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2</w:t>
            </w:r>
            <w:r>
              <w:rPr>
                <w:sz w:val="24"/>
                <w:szCs w:val="24"/>
              </w:rPr>
              <w:t>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7"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司法所（公共法律服务工作站）</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300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6" w:hRule="atLeast"/>
        </w:trPr>
        <w:tc>
          <w:tcPr>
            <w:tcW w:w="1304" w:type="dxa"/>
            <w:vAlign w:val="center"/>
          </w:tcPr>
          <w:p>
            <w:pPr>
              <w:spacing w:line="240" w:lineRule="exact"/>
              <w:jc w:val="center"/>
              <w:rPr>
                <w:sz w:val="24"/>
                <w:szCs w:val="24"/>
              </w:rPr>
            </w:pPr>
            <w:r>
              <w:rPr>
                <w:rFonts w:hint="eastAsia"/>
                <w:sz w:val="24"/>
                <w:szCs w:val="24"/>
              </w:rPr>
              <w:t>福利设施</w:t>
            </w:r>
          </w:p>
        </w:tc>
        <w:tc>
          <w:tcPr>
            <w:tcW w:w="2268" w:type="dxa"/>
            <w:gridSpan w:val="2"/>
            <w:vAlign w:val="center"/>
          </w:tcPr>
          <w:p>
            <w:pPr>
              <w:adjustRightInd w:val="0"/>
              <w:spacing w:line="240" w:lineRule="exact"/>
              <w:jc w:val="center"/>
              <w:rPr>
                <w:sz w:val="24"/>
                <w:szCs w:val="24"/>
              </w:rPr>
            </w:pPr>
            <w:r>
              <w:rPr>
                <w:rFonts w:hint="eastAsia" w:cs="仿宋_GB2312"/>
                <w:sz w:val="24"/>
                <w:szCs w:val="24"/>
              </w:rPr>
              <w:t>托育机构</w:t>
            </w:r>
          </w:p>
        </w:tc>
        <w:tc>
          <w:tcPr>
            <w:tcW w:w="3953" w:type="dxa"/>
            <w:vAlign w:val="center"/>
          </w:tcPr>
          <w:p>
            <w:pPr>
              <w:adjustRightInd w:val="0"/>
              <w:spacing w:line="240" w:lineRule="exact"/>
              <w:jc w:val="left"/>
              <w:rPr>
                <w:sz w:val="24"/>
                <w:szCs w:val="24"/>
              </w:rPr>
            </w:pPr>
            <w:r>
              <w:rPr>
                <w:rFonts w:hint="eastAsia"/>
                <w:sz w:val="24"/>
                <w:szCs w:val="24"/>
              </w:rPr>
              <w:t>生活用房应设于建筑首层，确有困难的，可将部分生活用房布置在二层。</w:t>
            </w:r>
          </w:p>
        </w:tc>
        <w:tc>
          <w:tcPr>
            <w:tcW w:w="1717" w:type="dxa"/>
            <w:vAlign w:val="center"/>
          </w:tcPr>
          <w:p>
            <w:pPr>
              <w:adjustRightInd w:val="0"/>
              <w:spacing w:line="240" w:lineRule="exact"/>
              <w:jc w:val="center"/>
              <w:rPr>
                <w:sz w:val="24"/>
                <w:szCs w:val="24"/>
              </w:rPr>
            </w:pPr>
            <w:r>
              <w:rPr>
                <w:sz w:val="24"/>
                <w:szCs w:val="24"/>
              </w:rPr>
              <w:t>1000-2000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8" w:hRule="atLeast"/>
        </w:trPr>
        <w:tc>
          <w:tcPr>
            <w:tcW w:w="1304" w:type="dxa"/>
            <w:vMerge w:val="restart"/>
            <w:vAlign w:val="center"/>
          </w:tcPr>
          <w:p>
            <w:pPr>
              <w:adjustRightInd w:val="0"/>
              <w:spacing w:line="240" w:lineRule="exact"/>
              <w:jc w:val="center"/>
              <w:rPr>
                <w:sz w:val="24"/>
                <w:szCs w:val="24"/>
              </w:rPr>
            </w:pPr>
            <w:r>
              <w:rPr>
                <w:rFonts w:hint="eastAsia"/>
                <w:sz w:val="24"/>
                <w:szCs w:val="24"/>
              </w:rPr>
              <w:t>公共文化</w:t>
            </w:r>
          </w:p>
          <w:p>
            <w:pPr>
              <w:adjustRightInd w:val="0"/>
              <w:spacing w:line="240" w:lineRule="exact"/>
              <w:jc w:val="center"/>
              <w:rPr>
                <w:sz w:val="24"/>
                <w:szCs w:val="24"/>
              </w:rPr>
            </w:pPr>
            <w:r>
              <w:rPr>
                <w:rFonts w:hint="eastAsia"/>
                <w:sz w:val="24"/>
                <w:szCs w:val="24"/>
              </w:rPr>
              <w:t>设施</w:t>
            </w:r>
          </w:p>
        </w:tc>
        <w:tc>
          <w:tcPr>
            <w:tcW w:w="2268" w:type="dxa"/>
            <w:gridSpan w:val="2"/>
            <w:vAlign w:val="center"/>
          </w:tcPr>
          <w:p>
            <w:pPr>
              <w:adjustRightInd w:val="0"/>
              <w:spacing w:line="240" w:lineRule="exact"/>
              <w:jc w:val="center"/>
              <w:rPr>
                <w:sz w:val="24"/>
                <w:szCs w:val="24"/>
              </w:rPr>
            </w:pPr>
            <w:r>
              <w:rPr>
                <w:rFonts w:hint="eastAsia"/>
                <w:sz w:val="24"/>
                <w:szCs w:val="24"/>
              </w:rPr>
              <w:t>文化站</w:t>
            </w:r>
          </w:p>
        </w:tc>
        <w:tc>
          <w:tcPr>
            <w:tcW w:w="3953" w:type="dxa"/>
            <w:vAlign w:val="center"/>
          </w:tcPr>
          <w:p>
            <w:pPr>
              <w:adjustRightInd w:val="0"/>
              <w:spacing w:line="240" w:lineRule="exact"/>
              <w:jc w:val="left"/>
              <w:rPr>
                <w:sz w:val="24"/>
                <w:szCs w:val="24"/>
              </w:rPr>
            </w:pPr>
            <w:r>
              <w:rPr>
                <w:rFonts w:hint="eastAsia"/>
                <w:sz w:val="24"/>
                <w:szCs w:val="24"/>
              </w:rPr>
              <w:t>应专门设置老人、儿童活动场地。</w:t>
            </w:r>
          </w:p>
        </w:tc>
        <w:tc>
          <w:tcPr>
            <w:tcW w:w="1717" w:type="dxa"/>
            <w:vAlign w:val="center"/>
          </w:tcPr>
          <w:p>
            <w:pPr>
              <w:adjustRightInd w:val="0"/>
              <w:spacing w:line="240" w:lineRule="exact"/>
              <w:jc w:val="center"/>
              <w:rPr>
                <w:sz w:val="24"/>
                <w:szCs w:val="24"/>
              </w:rPr>
            </w:pPr>
            <w:r>
              <w:rPr>
                <w:sz w:val="24"/>
                <w:szCs w:val="24"/>
              </w:rPr>
              <w:t>2000-2500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0"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图书馆分馆</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500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6"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社区少年宫</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sz w:val="24"/>
                <w:szCs w:val="24"/>
              </w:rPr>
              <w:t>1000-2000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社区学校</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sz w:val="24"/>
                <w:szCs w:val="24"/>
              </w:rPr>
              <w:t>2000-3000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8"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社区博物馆</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sz w:val="24"/>
                <w:szCs w:val="24"/>
              </w:rPr>
              <w:t>1000-</w:t>
            </w:r>
            <w:r>
              <w:rPr>
                <w:rFonts w:hint="eastAsia"/>
                <w:sz w:val="24"/>
                <w:szCs w:val="24"/>
              </w:rPr>
              <w:t>4</w:t>
            </w:r>
            <w:r>
              <w:rPr>
                <w:sz w:val="24"/>
                <w:szCs w:val="24"/>
              </w:rPr>
              <w:t>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2"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社区自助借阅点</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sz w:val="24"/>
                <w:szCs w:val="24"/>
              </w:rPr>
              <w:t>100-300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95" w:hRule="atLeast"/>
        </w:trPr>
        <w:tc>
          <w:tcPr>
            <w:tcW w:w="1304" w:type="dxa"/>
            <w:vMerge w:val="restart"/>
            <w:vAlign w:val="center"/>
          </w:tcPr>
          <w:p>
            <w:pPr>
              <w:adjustRightInd w:val="0"/>
              <w:spacing w:line="240" w:lineRule="exact"/>
              <w:jc w:val="center"/>
              <w:rPr>
                <w:sz w:val="24"/>
                <w:szCs w:val="24"/>
              </w:rPr>
            </w:pPr>
            <w:r>
              <w:rPr>
                <w:rFonts w:hint="eastAsia"/>
                <w:sz w:val="24"/>
                <w:szCs w:val="24"/>
              </w:rPr>
              <w:t>体育健身</w:t>
            </w:r>
          </w:p>
          <w:p>
            <w:pPr>
              <w:adjustRightInd w:val="0"/>
              <w:spacing w:line="240" w:lineRule="exact"/>
              <w:jc w:val="center"/>
              <w:rPr>
                <w:sz w:val="24"/>
                <w:szCs w:val="24"/>
              </w:rPr>
            </w:pPr>
            <w:r>
              <w:rPr>
                <w:rFonts w:hint="eastAsia"/>
                <w:sz w:val="24"/>
                <w:szCs w:val="24"/>
              </w:rPr>
              <w:t>设施</w:t>
            </w:r>
          </w:p>
        </w:tc>
        <w:tc>
          <w:tcPr>
            <w:tcW w:w="2268" w:type="dxa"/>
            <w:gridSpan w:val="2"/>
            <w:vAlign w:val="center"/>
          </w:tcPr>
          <w:p>
            <w:pPr>
              <w:adjustRightInd w:val="0"/>
              <w:spacing w:line="240" w:lineRule="exact"/>
              <w:jc w:val="center"/>
              <w:rPr>
                <w:sz w:val="24"/>
                <w:szCs w:val="24"/>
              </w:rPr>
            </w:pPr>
            <w:r>
              <w:rPr>
                <w:rFonts w:hint="eastAsia"/>
                <w:sz w:val="24"/>
                <w:szCs w:val="24"/>
              </w:rPr>
              <w:t>群众性体育运动场地</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1500-2000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1"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社区体育中心</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4000-5500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5" w:hRule="atLeast"/>
        </w:trPr>
        <w:tc>
          <w:tcPr>
            <w:tcW w:w="1304" w:type="dxa"/>
            <w:vAlign w:val="center"/>
          </w:tcPr>
          <w:p>
            <w:pPr>
              <w:adjustRightInd w:val="0"/>
              <w:spacing w:line="240" w:lineRule="exact"/>
              <w:jc w:val="center"/>
              <w:rPr>
                <w:sz w:val="24"/>
                <w:szCs w:val="24"/>
              </w:rPr>
            </w:pPr>
            <w:r>
              <w:rPr>
                <w:rFonts w:hint="eastAsia"/>
                <w:sz w:val="24"/>
                <w:szCs w:val="24"/>
              </w:rPr>
              <w:t>公共空间</w:t>
            </w:r>
          </w:p>
        </w:tc>
        <w:tc>
          <w:tcPr>
            <w:tcW w:w="2268" w:type="dxa"/>
            <w:gridSpan w:val="2"/>
            <w:vAlign w:val="center"/>
          </w:tcPr>
          <w:p>
            <w:pPr>
              <w:adjustRightInd w:val="0"/>
              <w:spacing w:line="240" w:lineRule="exact"/>
              <w:jc w:val="center"/>
              <w:rPr>
                <w:sz w:val="24"/>
                <w:szCs w:val="24"/>
              </w:rPr>
            </w:pPr>
            <w:r>
              <w:rPr>
                <w:rFonts w:hint="eastAsia"/>
                <w:sz w:val="24"/>
                <w:szCs w:val="24"/>
              </w:rPr>
              <w:t>社区公园、广场</w:t>
            </w:r>
          </w:p>
        </w:tc>
        <w:tc>
          <w:tcPr>
            <w:tcW w:w="3953" w:type="dxa"/>
            <w:vAlign w:val="center"/>
          </w:tcPr>
          <w:p>
            <w:pPr>
              <w:adjustRightInd w:val="0"/>
              <w:spacing w:line="240" w:lineRule="exact"/>
              <w:jc w:val="left"/>
              <w:rPr>
                <w:sz w:val="24"/>
                <w:szCs w:val="24"/>
              </w:rPr>
            </w:pPr>
            <w:r>
              <w:rPr>
                <w:rFonts w:hint="eastAsia"/>
                <w:sz w:val="24"/>
                <w:szCs w:val="24"/>
              </w:rPr>
              <w:t>可与体育运动场地兼容使用。</w:t>
            </w:r>
          </w:p>
        </w:tc>
        <w:tc>
          <w:tcPr>
            <w:tcW w:w="1717" w:type="dxa"/>
            <w:vAlign w:val="center"/>
          </w:tcPr>
          <w:p>
            <w:pPr>
              <w:adjustRightInd w:val="0"/>
              <w:spacing w:line="240" w:lineRule="exact"/>
              <w:jc w:val="center"/>
              <w:rPr>
                <w:sz w:val="24"/>
                <w:szCs w:val="24"/>
              </w:rPr>
            </w:pP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44" w:hRule="atLeast"/>
        </w:trPr>
        <w:tc>
          <w:tcPr>
            <w:tcW w:w="1304" w:type="dxa"/>
            <w:vMerge w:val="restart"/>
            <w:vAlign w:val="center"/>
          </w:tcPr>
          <w:p>
            <w:pPr>
              <w:adjustRightInd w:val="0"/>
              <w:spacing w:line="240" w:lineRule="exact"/>
              <w:jc w:val="center"/>
              <w:rPr>
                <w:sz w:val="24"/>
                <w:szCs w:val="24"/>
              </w:rPr>
            </w:pPr>
            <w:r>
              <w:rPr>
                <w:rFonts w:hint="eastAsia"/>
                <w:sz w:val="24"/>
                <w:szCs w:val="24"/>
              </w:rPr>
              <w:t>便民商业</w:t>
            </w:r>
          </w:p>
          <w:p>
            <w:pPr>
              <w:adjustRightInd w:val="0"/>
              <w:spacing w:line="240" w:lineRule="exact"/>
              <w:jc w:val="center"/>
              <w:rPr>
                <w:sz w:val="24"/>
                <w:szCs w:val="24"/>
              </w:rPr>
            </w:pPr>
            <w:r>
              <w:rPr>
                <w:rFonts w:hint="eastAsia"/>
                <w:sz w:val="24"/>
                <w:szCs w:val="24"/>
              </w:rPr>
              <w:t>设施</w:t>
            </w:r>
          </w:p>
        </w:tc>
        <w:tc>
          <w:tcPr>
            <w:tcW w:w="2268" w:type="dxa"/>
            <w:gridSpan w:val="2"/>
            <w:vAlign w:val="center"/>
          </w:tcPr>
          <w:p>
            <w:pPr>
              <w:adjustRightInd w:val="0"/>
              <w:spacing w:line="240" w:lineRule="exact"/>
              <w:jc w:val="center"/>
              <w:rPr>
                <w:sz w:val="24"/>
                <w:szCs w:val="24"/>
              </w:rPr>
            </w:pPr>
            <w:r>
              <w:rPr>
                <w:rFonts w:hint="eastAsia"/>
                <w:sz w:val="24"/>
                <w:szCs w:val="24"/>
              </w:rPr>
              <w:t>物流配送站</w:t>
            </w:r>
          </w:p>
        </w:tc>
        <w:tc>
          <w:tcPr>
            <w:tcW w:w="3953" w:type="dxa"/>
            <w:vAlign w:val="center"/>
          </w:tcPr>
          <w:p>
            <w:pPr>
              <w:adjustRightInd w:val="0"/>
              <w:spacing w:line="240" w:lineRule="exact"/>
              <w:jc w:val="left"/>
              <w:rPr>
                <w:sz w:val="24"/>
                <w:szCs w:val="24"/>
              </w:rPr>
            </w:pPr>
            <w:r>
              <w:rPr>
                <w:sz w:val="24"/>
                <w:szCs w:val="24"/>
              </w:rPr>
              <w:t>宜设置在建筑首层，并设在运输车辆易于进出的相对独立地段，尽量依靠主、次干道，方便运输，减少扰民。应有方便的对外出入口，且出入口设置应适应货流进出需求。站前应至少保留100平方米货物装卸场地，以降低对周边社区交通的影响程度。</w:t>
            </w:r>
          </w:p>
        </w:tc>
        <w:tc>
          <w:tcPr>
            <w:tcW w:w="1717" w:type="dxa"/>
            <w:vAlign w:val="center"/>
          </w:tcPr>
          <w:p>
            <w:pPr>
              <w:adjustRightInd w:val="0"/>
              <w:spacing w:line="240" w:lineRule="exact"/>
              <w:jc w:val="center"/>
              <w:rPr>
                <w:sz w:val="24"/>
                <w:szCs w:val="24"/>
              </w:rPr>
            </w:pPr>
            <w:r>
              <w:rPr>
                <w:sz w:val="24"/>
                <w:szCs w:val="24"/>
              </w:rPr>
              <w:t>300-500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11" w:hRule="atLeast"/>
        </w:trPr>
        <w:tc>
          <w:tcPr>
            <w:tcW w:w="1304" w:type="dxa"/>
            <w:vMerge w:val="continue"/>
            <w:vAlign w:val="center"/>
          </w:tcPr>
          <w:p>
            <w:pPr>
              <w:adjustRightInd w:val="0"/>
              <w:spacing w:line="240" w:lineRule="exact"/>
              <w:jc w:val="center"/>
              <w:rPr>
                <w:sz w:val="24"/>
                <w:szCs w:val="24"/>
              </w:rPr>
            </w:pPr>
          </w:p>
        </w:tc>
        <w:tc>
          <w:tcPr>
            <w:tcW w:w="1285" w:type="dxa"/>
            <w:vMerge w:val="restart"/>
            <w:vAlign w:val="center"/>
          </w:tcPr>
          <w:p>
            <w:pPr>
              <w:adjustRightInd w:val="0"/>
              <w:spacing w:line="240" w:lineRule="exact"/>
              <w:jc w:val="center"/>
              <w:rPr>
                <w:sz w:val="24"/>
                <w:szCs w:val="24"/>
              </w:rPr>
            </w:pPr>
            <w:r>
              <w:rPr>
                <w:rFonts w:hint="eastAsia"/>
                <w:sz w:val="24"/>
                <w:szCs w:val="24"/>
              </w:rPr>
              <w:t>快递送达设施（智能快件箱、快递快餐收发点）</w:t>
            </w:r>
          </w:p>
        </w:tc>
        <w:tc>
          <w:tcPr>
            <w:tcW w:w="983" w:type="dxa"/>
            <w:vAlign w:val="center"/>
          </w:tcPr>
          <w:p>
            <w:pPr>
              <w:adjustRightInd w:val="0"/>
              <w:spacing w:line="240" w:lineRule="exact"/>
              <w:jc w:val="center"/>
              <w:rPr>
                <w:rFonts w:hint="eastAsia"/>
                <w:sz w:val="24"/>
                <w:szCs w:val="24"/>
              </w:rPr>
            </w:pPr>
            <w:r>
              <w:rPr>
                <w:rFonts w:hint="eastAsia"/>
                <w:sz w:val="24"/>
                <w:szCs w:val="24"/>
              </w:rPr>
              <w:t>基本型营业</w:t>
            </w:r>
          </w:p>
          <w:p>
            <w:pPr>
              <w:adjustRightInd w:val="0"/>
              <w:spacing w:line="240" w:lineRule="exact"/>
              <w:jc w:val="center"/>
              <w:rPr>
                <w:sz w:val="24"/>
                <w:szCs w:val="24"/>
              </w:rPr>
            </w:pPr>
            <w:r>
              <w:rPr>
                <w:rFonts w:hint="eastAsia"/>
                <w:sz w:val="24"/>
                <w:szCs w:val="24"/>
              </w:rPr>
              <w:t>场所</w:t>
            </w:r>
          </w:p>
        </w:tc>
        <w:tc>
          <w:tcPr>
            <w:tcW w:w="3953" w:type="dxa"/>
            <w:vAlign w:val="center"/>
          </w:tcPr>
          <w:p>
            <w:pPr>
              <w:adjustRightInd w:val="0"/>
              <w:spacing w:line="240" w:lineRule="exact"/>
              <w:jc w:val="left"/>
              <w:rPr>
                <w:sz w:val="24"/>
                <w:szCs w:val="24"/>
              </w:rPr>
            </w:pPr>
            <w:r>
              <w:rPr>
                <w:sz w:val="24"/>
                <w:szCs w:val="24"/>
              </w:rPr>
              <w:t>仅满足业务接待和快件暂存基本功能要求的快递营业场所。营业场所的面积应与快递业务量大小相适应。宜设于建筑首层，布局在人流集中的地方，方便社区居民收取快递。</w:t>
            </w:r>
          </w:p>
        </w:tc>
        <w:tc>
          <w:tcPr>
            <w:tcW w:w="1717" w:type="dxa"/>
            <w:vAlign w:val="center"/>
          </w:tcPr>
          <w:p>
            <w:pPr>
              <w:adjustRightInd w:val="0"/>
              <w:spacing w:line="240" w:lineRule="exact"/>
              <w:jc w:val="center"/>
              <w:rPr>
                <w:sz w:val="24"/>
                <w:szCs w:val="24"/>
              </w:rPr>
            </w:pPr>
            <w:r>
              <w:rPr>
                <w:rFonts w:hint="eastAsia"/>
                <w:sz w:val="24"/>
                <w:szCs w:val="24"/>
              </w:rPr>
              <w:t>≥1</w:t>
            </w:r>
            <w:r>
              <w:rPr>
                <w:sz w:val="24"/>
                <w:szCs w:val="24"/>
              </w:rPr>
              <w:t>5</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108" w:hRule="atLeast"/>
        </w:trPr>
        <w:tc>
          <w:tcPr>
            <w:tcW w:w="1304" w:type="dxa"/>
            <w:vMerge w:val="continue"/>
            <w:vAlign w:val="center"/>
          </w:tcPr>
          <w:p>
            <w:pPr>
              <w:adjustRightInd w:val="0"/>
              <w:spacing w:line="240" w:lineRule="exact"/>
              <w:jc w:val="center"/>
              <w:rPr>
                <w:sz w:val="24"/>
                <w:szCs w:val="24"/>
              </w:rPr>
            </w:pPr>
          </w:p>
        </w:tc>
        <w:tc>
          <w:tcPr>
            <w:tcW w:w="1285" w:type="dxa"/>
            <w:vMerge w:val="continue"/>
            <w:vAlign w:val="center"/>
          </w:tcPr>
          <w:p>
            <w:pPr>
              <w:adjustRightInd w:val="0"/>
              <w:spacing w:line="240" w:lineRule="exact"/>
              <w:jc w:val="center"/>
              <w:rPr>
                <w:sz w:val="24"/>
                <w:szCs w:val="24"/>
              </w:rPr>
            </w:pPr>
          </w:p>
        </w:tc>
        <w:tc>
          <w:tcPr>
            <w:tcW w:w="983" w:type="dxa"/>
            <w:vAlign w:val="center"/>
          </w:tcPr>
          <w:p>
            <w:pPr>
              <w:adjustRightInd w:val="0"/>
              <w:spacing w:line="240" w:lineRule="exact"/>
              <w:jc w:val="center"/>
              <w:rPr>
                <w:rFonts w:hint="eastAsia"/>
                <w:sz w:val="24"/>
                <w:szCs w:val="24"/>
              </w:rPr>
            </w:pPr>
            <w:r>
              <w:rPr>
                <w:rFonts w:hint="eastAsia"/>
                <w:sz w:val="24"/>
                <w:szCs w:val="24"/>
              </w:rPr>
              <w:t>拓展型营业</w:t>
            </w:r>
          </w:p>
          <w:p>
            <w:pPr>
              <w:adjustRightInd w:val="0"/>
              <w:spacing w:line="240" w:lineRule="exact"/>
              <w:jc w:val="center"/>
              <w:rPr>
                <w:sz w:val="24"/>
                <w:szCs w:val="24"/>
              </w:rPr>
            </w:pPr>
            <w:r>
              <w:rPr>
                <w:rFonts w:hint="eastAsia"/>
                <w:sz w:val="24"/>
                <w:szCs w:val="24"/>
              </w:rPr>
              <w:t>场所</w:t>
            </w:r>
          </w:p>
        </w:tc>
        <w:tc>
          <w:tcPr>
            <w:tcW w:w="3953" w:type="dxa"/>
            <w:vAlign w:val="center"/>
          </w:tcPr>
          <w:p>
            <w:pPr>
              <w:adjustRightInd w:val="0"/>
              <w:spacing w:line="240" w:lineRule="exact"/>
              <w:jc w:val="left"/>
              <w:rPr>
                <w:sz w:val="24"/>
                <w:szCs w:val="24"/>
              </w:rPr>
            </w:pPr>
            <w:r>
              <w:rPr>
                <w:sz w:val="24"/>
                <w:szCs w:val="24"/>
              </w:rPr>
              <w:t>除满足业务接待和快件暂存基本功能外，还可满足业务操作、停车及装卸、充电等其他功能要求的快递营业场所。营业场所的面积应与快递业务量大小相适应。宜设于建筑首层，布局在人流集中的地方，方便社区居民收取快递。</w:t>
            </w:r>
          </w:p>
        </w:tc>
        <w:tc>
          <w:tcPr>
            <w:tcW w:w="1717" w:type="dxa"/>
            <w:vAlign w:val="center"/>
          </w:tcPr>
          <w:p>
            <w:pPr>
              <w:adjustRightInd w:val="0"/>
              <w:spacing w:line="240" w:lineRule="exact"/>
              <w:jc w:val="center"/>
              <w:rPr>
                <w:sz w:val="24"/>
                <w:szCs w:val="24"/>
              </w:rPr>
            </w:pPr>
            <w:r>
              <w:rPr>
                <w:rFonts w:hint="eastAsia"/>
                <w:sz w:val="24"/>
                <w:szCs w:val="24"/>
              </w:rPr>
              <w:t>≥3</w:t>
            </w:r>
            <w:r>
              <w:rPr>
                <w:sz w:val="24"/>
                <w:szCs w:val="24"/>
              </w:rPr>
              <w:t>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17" w:hRule="atLeast"/>
        </w:trPr>
        <w:tc>
          <w:tcPr>
            <w:tcW w:w="1304" w:type="dxa"/>
            <w:vMerge w:val="continue"/>
            <w:vAlign w:val="center"/>
          </w:tcPr>
          <w:p>
            <w:pPr>
              <w:adjustRightInd w:val="0"/>
              <w:spacing w:line="240" w:lineRule="exact"/>
              <w:jc w:val="center"/>
              <w:rPr>
                <w:sz w:val="24"/>
                <w:szCs w:val="24"/>
              </w:rPr>
            </w:pPr>
          </w:p>
        </w:tc>
        <w:tc>
          <w:tcPr>
            <w:tcW w:w="2268" w:type="dxa"/>
            <w:gridSpan w:val="2"/>
            <w:vAlign w:val="center"/>
          </w:tcPr>
          <w:p>
            <w:pPr>
              <w:adjustRightInd w:val="0"/>
              <w:spacing w:line="240" w:lineRule="exact"/>
              <w:jc w:val="center"/>
              <w:rPr>
                <w:sz w:val="24"/>
                <w:szCs w:val="24"/>
              </w:rPr>
            </w:pPr>
            <w:r>
              <w:rPr>
                <w:rFonts w:hint="eastAsia"/>
                <w:sz w:val="24"/>
                <w:szCs w:val="24"/>
              </w:rPr>
              <w:t>其他便民商业设施</w:t>
            </w:r>
          </w:p>
        </w:tc>
        <w:tc>
          <w:tcPr>
            <w:tcW w:w="3953" w:type="dxa"/>
            <w:vAlign w:val="center"/>
          </w:tcPr>
          <w:p>
            <w:pPr>
              <w:adjustRightInd w:val="0"/>
              <w:spacing w:line="240" w:lineRule="exact"/>
              <w:jc w:val="left"/>
              <w:rPr>
                <w:sz w:val="24"/>
                <w:szCs w:val="24"/>
              </w:rPr>
            </w:pPr>
          </w:p>
        </w:tc>
        <w:tc>
          <w:tcPr>
            <w:tcW w:w="1717" w:type="dxa"/>
            <w:vAlign w:val="center"/>
          </w:tcPr>
          <w:p>
            <w:pPr>
              <w:adjustRightInd w:val="0"/>
              <w:spacing w:line="240" w:lineRule="exact"/>
              <w:jc w:val="center"/>
              <w:rPr>
                <w:sz w:val="24"/>
                <w:szCs w:val="24"/>
              </w:rPr>
            </w:pPr>
            <w:r>
              <w:rPr>
                <w:rFonts w:hint="eastAsia"/>
                <w:sz w:val="24"/>
                <w:szCs w:val="24"/>
              </w:rPr>
              <w:t>2000-5000</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287" w:hRule="atLeast"/>
        </w:trPr>
        <w:tc>
          <w:tcPr>
            <w:tcW w:w="1304" w:type="dxa"/>
            <w:vAlign w:val="center"/>
          </w:tcPr>
          <w:p>
            <w:pPr>
              <w:adjustRightInd w:val="0"/>
              <w:spacing w:line="240" w:lineRule="exact"/>
              <w:jc w:val="center"/>
              <w:rPr>
                <w:sz w:val="24"/>
                <w:szCs w:val="24"/>
              </w:rPr>
            </w:pPr>
            <w:r>
              <w:rPr>
                <w:rFonts w:hint="eastAsia"/>
                <w:sz w:val="24"/>
                <w:szCs w:val="24"/>
              </w:rPr>
              <w:t>福利设施</w:t>
            </w:r>
          </w:p>
        </w:tc>
        <w:tc>
          <w:tcPr>
            <w:tcW w:w="2268" w:type="dxa"/>
            <w:gridSpan w:val="2"/>
            <w:vAlign w:val="center"/>
          </w:tcPr>
          <w:p>
            <w:pPr>
              <w:adjustRightInd w:val="0"/>
              <w:spacing w:line="240" w:lineRule="exact"/>
              <w:jc w:val="center"/>
              <w:rPr>
                <w:sz w:val="24"/>
                <w:szCs w:val="24"/>
              </w:rPr>
            </w:pPr>
            <w:r>
              <w:rPr>
                <w:rFonts w:hint="eastAsia"/>
                <w:sz w:val="24"/>
                <w:szCs w:val="24"/>
              </w:rPr>
              <w:t>镇街综合养老服务</w:t>
            </w:r>
          </w:p>
          <w:p>
            <w:pPr>
              <w:adjustRightInd w:val="0"/>
              <w:spacing w:line="240" w:lineRule="exact"/>
              <w:jc w:val="center"/>
              <w:rPr>
                <w:sz w:val="24"/>
                <w:szCs w:val="24"/>
              </w:rPr>
            </w:pPr>
            <w:r>
              <w:rPr>
                <w:rFonts w:hint="eastAsia"/>
                <w:sz w:val="24"/>
                <w:szCs w:val="24"/>
              </w:rPr>
              <w:t>中心（颐康中心）</w:t>
            </w:r>
          </w:p>
        </w:tc>
        <w:tc>
          <w:tcPr>
            <w:tcW w:w="5670" w:type="dxa"/>
            <w:gridSpan w:val="2"/>
            <w:vAlign w:val="center"/>
          </w:tcPr>
          <w:p>
            <w:pPr>
              <w:adjustRightInd w:val="0"/>
              <w:spacing w:line="240" w:lineRule="exact"/>
              <w:jc w:val="left"/>
              <w:rPr>
                <w:sz w:val="24"/>
                <w:szCs w:val="24"/>
              </w:rPr>
            </w:pPr>
            <w:r>
              <w:rPr>
                <w:rFonts w:hint="eastAsia"/>
                <w:sz w:val="24"/>
                <w:szCs w:val="24"/>
              </w:rPr>
              <w:t>每处建筑面积</w:t>
            </w:r>
            <w:r>
              <w:rPr>
                <w:sz w:val="24"/>
                <w:szCs w:val="24"/>
              </w:rPr>
              <w:t>3000-4900</w:t>
            </w:r>
            <w:r>
              <w:rPr>
                <w:rFonts w:hint="eastAsia"/>
                <w:sz w:val="24"/>
                <w:szCs w:val="24"/>
              </w:rPr>
              <w:t>平方米，统筹街道级老年人福利院、老年人服务中心以及老年大学教学点功能。</w:t>
            </w:r>
          </w:p>
          <w:p>
            <w:pPr>
              <w:adjustRightInd w:val="0"/>
              <w:spacing w:line="240" w:lineRule="exact"/>
              <w:jc w:val="left"/>
              <w:rPr>
                <w:sz w:val="24"/>
                <w:szCs w:val="24"/>
              </w:rPr>
            </w:pPr>
            <w:r>
              <w:rPr>
                <w:rFonts w:hint="eastAsia"/>
                <w:sz w:val="24"/>
                <w:szCs w:val="24"/>
              </w:rPr>
              <w:t>应设置在交通便利、日照充足、通风良好、相对独立且便于老年人使用的位置。宜设置在社区中心的相对独立楼层，不得设置在地下室、半地下室；应远离污染源、噪声源、危险品生产储运、垃圾站、殡仪馆等邻避设施；在二层及以上楼层设置的，应设置无障碍电梯，且至少</w:t>
            </w:r>
            <w:r>
              <w:rPr>
                <w:sz w:val="24"/>
                <w:szCs w:val="24"/>
              </w:rPr>
              <w:t xml:space="preserve"> 1</w:t>
            </w:r>
            <w:r>
              <w:rPr>
                <w:rFonts w:hint="eastAsia"/>
                <w:sz w:val="24"/>
                <w:szCs w:val="24"/>
              </w:rPr>
              <w:t>台为医用电梯。</w:t>
            </w:r>
          </w:p>
        </w:tc>
        <w:tc>
          <w:tcPr>
            <w:tcW w:w="1418" w:type="dxa"/>
            <w:vMerge w:val="continue"/>
            <w:vAlign w:val="center"/>
          </w:tcPr>
          <w:p>
            <w:pPr>
              <w:adjustRightInd w:val="0"/>
              <w:spacing w:line="240" w:lineRule="exact"/>
              <w:rPr>
                <w:sz w:val="24"/>
                <w:szCs w:val="24"/>
              </w:rPr>
            </w:pPr>
          </w:p>
        </w:tc>
        <w:tc>
          <w:tcPr>
            <w:tcW w:w="1275" w:type="dxa"/>
            <w:vMerge w:val="continue"/>
            <w:vAlign w:val="center"/>
          </w:tcPr>
          <w:p>
            <w:pPr>
              <w:adjustRightInd w:val="0"/>
              <w:spacing w:line="240" w:lineRule="exact"/>
              <w:rPr>
                <w:sz w:val="24"/>
                <w:szCs w:val="24"/>
              </w:rPr>
            </w:pPr>
          </w:p>
        </w:tc>
        <w:tc>
          <w:tcPr>
            <w:tcW w:w="851" w:type="dxa"/>
            <w:vMerge w:val="continue"/>
            <w:vAlign w:val="center"/>
          </w:tcPr>
          <w:p>
            <w:pPr>
              <w:adjustRightInd w:val="0"/>
              <w:spacing w:line="240" w:lineRule="exact"/>
              <w:rPr>
                <w:sz w:val="24"/>
                <w:szCs w:val="24"/>
              </w:rPr>
            </w:pPr>
          </w:p>
        </w:tc>
        <w:tc>
          <w:tcPr>
            <w:tcW w:w="1101" w:type="dxa"/>
            <w:vMerge w:val="continue"/>
            <w:vAlign w:val="center"/>
          </w:tcPr>
          <w:p>
            <w:pPr>
              <w:adjustRightInd w:val="0"/>
              <w:spacing w:line="240" w:lineRule="exact"/>
              <w:rPr>
                <w:sz w:val="24"/>
                <w:szCs w:val="24"/>
              </w:rPr>
            </w:pPr>
          </w:p>
        </w:tc>
      </w:tr>
    </w:tbl>
    <w:p>
      <w:pPr>
        <w:adjustRightInd w:val="0"/>
        <w:snapToGrid w:val="0"/>
        <w:jc w:val="left"/>
        <w:rPr>
          <w:rFonts w:ascii="方正小标宋简体" w:hAnsi="方正小标宋简体" w:eastAsia="方正小标宋简体" w:cs="方正小标宋简体"/>
          <w:sz w:val="44"/>
          <w:szCs w:val="44"/>
        </w:rPr>
      </w:pPr>
      <w:r>
        <w:rPr>
          <w:sz w:val="24"/>
          <w:szCs w:val="24"/>
        </w:rPr>
        <w:br w:type="page"/>
      </w:r>
      <w:r>
        <w:rPr>
          <w:rFonts w:hint="eastAsia" w:ascii="方正小标宋简体" w:hAnsi="方正小标宋简体" w:eastAsia="方正小标宋简体" w:cs="方正小标宋简体"/>
          <w:sz w:val="44"/>
          <w:szCs w:val="44"/>
        </w:rPr>
        <w:t>附表4</w:t>
      </w:r>
    </w:p>
    <w:p>
      <w:pPr>
        <w:adjustRightInd w:val="0"/>
        <w:snapToGrid w:val="0"/>
        <w:jc w:val="center"/>
        <w:rPr>
          <w:sz w:val="24"/>
          <w:szCs w:val="24"/>
        </w:rPr>
      </w:pPr>
      <w:r>
        <w:rPr>
          <w:rFonts w:hint="eastAsia" w:ascii="方正小标宋简体" w:hAnsi="方正小标宋简体" w:eastAsia="方正小标宋简体" w:cs="方正小标宋简体"/>
          <w:sz w:val="44"/>
          <w:szCs w:val="44"/>
        </w:rPr>
        <w:t>居委级公共服务设施内容与规模标准</w:t>
      </w:r>
    </w:p>
    <w:tbl>
      <w:tblPr>
        <w:tblStyle w:val="7"/>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56"/>
        <w:gridCol w:w="94"/>
        <w:gridCol w:w="218"/>
        <w:gridCol w:w="862"/>
        <w:gridCol w:w="1330"/>
        <w:gridCol w:w="1417"/>
        <w:gridCol w:w="1276"/>
        <w:gridCol w:w="3969"/>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blHeader/>
        </w:trPr>
        <w:tc>
          <w:tcPr>
            <w:tcW w:w="3031" w:type="dxa"/>
            <w:gridSpan w:val="5"/>
            <w:vAlign w:val="center"/>
          </w:tcPr>
          <w:p>
            <w:pPr>
              <w:adjustRightInd w:val="0"/>
              <w:spacing w:line="240" w:lineRule="exact"/>
              <w:jc w:val="center"/>
              <w:rPr>
                <w:b/>
                <w:bCs/>
                <w:sz w:val="24"/>
                <w:szCs w:val="24"/>
              </w:rPr>
            </w:pPr>
            <w:r>
              <w:rPr>
                <w:rFonts w:hint="eastAsia"/>
                <w:b/>
                <w:bCs/>
                <w:sz w:val="24"/>
                <w:szCs w:val="24"/>
              </w:rPr>
              <w:t>类别</w:t>
            </w:r>
          </w:p>
        </w:tc>
        <w:tc>
          <w:tcPr>
            <w:tcW w:w="2747" w:type="dxa"/>
            <w:gridSpan w:val="2"/>
            <w:vAlign w:val="center"/>
          </w:tcPr>
          <w:p>
            <w:pPr>
              <w:adjustRightInd w:val="0"/>
              <w:spacing w:line="240" w:lineRule="exact"/>
              <w:jc w:val="center"/>
              <w:rPr>
                <w:b/>
                <w:bCs/>
                <w:sz w:val="24"/>
                <w:szCs w:val="24"/>
              </w:rPr>
            </w:pPr>
            <w:r>
              <w:rPr>
                <w:rFonts w:hint="eastAsia"/>
                <w:b/>
                <w:bCs/>
                <w:sz w:val="24"/>
                <w:szCs w:val="24"/>
              </w:rPr>
              <w:t>一般规模</w:t>
            </w:r>
          </w:p>
        </w:tc>
        <w:tc>
          <w:tcPr>
            <w:tcW w:w="1276" w:type="dxa"/>
            <w:vMerge w:val="restart"/>
            <w:vAlign w:val="center"/>
          </w:tcPr>
          <w:p>
            <w:pPr>
              <w:adjustRightInd w:val="0"/>
              <w:spacing w:line="240" w:lineRule="exact"/>
              <w:jc w:val="center"/>
              <w:rPr>
                <w:b/>
                <w:bCs/>
                <w:sz w:val="24"/>
                <w:szCs w:val="24"/>
              </w:rPr>
            </w:pPr>
            <w:r>
              <w:rPr>
                <w:rFonts w:hint="eastAsia"/>
                <w:b/>
                <w:bCs/>
                <w:sz w:val="24"/>
                <w:szCs w:val="24"/>
              </w:rPr>
              <w:t>服务</w:t>
            </w:r>
          </w:p>
          <w:p>
            <w:pPr>
              <w:adjustRightInd w:val="0"/>
              <w:spacing w:line="240" w:lineRule="exact"/>
              <w:jc w:val="center"/>
              <w:rPr>
                <w:b/>
                <w:bCs/>
                <w:sz w:val="24"/>
                <w:szCs w:val="24"/>
              </w:rPr>
            </w:pPr>
            <w:r>
              <w:rPr>
                <w:rFonts w:hint="eastAsia"/>
                <w:b/>
                <w:bCs/>
                <w:sz w:val="24"/>
                <w:szCs w:val="24"/>
              </w:rPr>
              <w:t>规模</w:t>
            </w:r>
          </w:p>
          <w:p>
            <w:pPr>
              <w:adjustRightInd w:val="0"/>
              <w:spacing w:line="240" w:lineRule="exact"/>
              <w:jc w:val="center"/>
              <w:rPr>
                <w:b/>
                <w:bCs/>
                <w:sz w:val="24"/>
                <w:szCs w:val="24"/>
              </w:rPr>
            </w:pPr>
            <w:r>
              <w:rPr>
                <w:rFonts w:hint="eastAsia"/>
                <w:b/>
                <w:bCs/>
                <w:sz w:val="24"/>
                <w:szCs w:val="24"/>
              </w:rPr>
              <w:t>（万人）</w:t>
            </w:r>
          </w:p>
        </w:tc>
        <w:tc>
          <w:tcPr>
            <w:tcW w:w="3969" w:type="dxa"/>
            <w:vMerge w:val="restart"/>
            <w:vAlign w:val="center"/>
          </w:tcPr>
          <w:p>
            <w:pPr>
              <w:adjustRightInd w:val="0"/>
              <w:spacing w:line="240" w:lineRule="exact"/>
              <w:jc w:val="center"/>
              <w:rPr>
                <w:b/>
                <w:bCs/>
                <w:sz w:val="24"/>
                <w:szCs w:val="24"/>
              </w:rPr>
            </w:pPr>
            <w:r>
              <w:rPr>
                <w:rFonts w:hint="eastAsia"/>
                <w:b/>
                <w:bCs/>
                <w:sz w:val="24"/>
                <w:szCs w:val="24"/>
              </w:rPr>
              <w:t>规划设置要求</w:t>
            </w:r>
          </w:p>
        </w:tc>
        <w:tc>
          <w:tcPr>
            <w:tcW w:w="3260" w:type="dxa"/>
            <w:vMerge w:val="restart"/>
            <w:vAlign w:val="center"/>
          </w:tcPr>
          <w:p>
            <w:pPr>
              <w:adjustRightInd w:val="0"/>
              <w:spacing w:line="240" w:lineRule="exact"/>
              <w:jc w:val="center"/>
              <w:rPr>
                <w:b/>
                <w:bCs/>
                <w:sz w:val="24"/>
                <w:szCs w:val="24"/>
              </w:rPr>
            </w:pPr>
            <w:r>
              <w:rPr>
                <w:rFonts w:hint="eastAsia"/>
                <w:b/>
                <w:bCs/>
                <w:sz w:val="24"/>
                <w:szCs w:val="24"/>
              </w:rPr>
              <w:t>新增或提高配建标准</w:t>
            </w:r>
          </w:p>
          <w:p>
            <w:pPr>
              <w:adjustRightInd w:val="0"/>
              <w:spacing w:line="240" w:lineRule="exact"/>
              <w:jc w:val="center"/>
              <w:rPr>
                <w:b/>
                <w:bCs/>
                <w:sz w:val="24"/>
                <w:szCs w:val="24"/>
              </w:rPr>
            </w:pPr>
            <w:r>
              <w:rPr>
                <w:rFonts w:hint="eastAsia"/>
                <w:b/>
                <w:bCs/>
                <w:sz w:val="24"/>
                <w:szCs w:val="24"/>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blHeader/>
        </w:trPr>
        <w:tc>
          <w:tcPr>
            <w:tcW w:w="1101" w:type="dxa"/>
            <w:vAlign w:val="center"/>
          </w:tcPr>
          <w:p>
            <w:pPr>
              <w:adjustRightInd w:val="0"/>
              <w:spacing w:line="240" w:lineRule="exact"/>
              <w:jc w:val="center"/>
              <w:rPr>
                <w:b/>
                <w:bCs/>
                <w:sz w:val="24"/>
                <w:szCs w:val="24"/>
              </w:rPr>
            </w:pPr>
            <w:r>
              <w:rPr>
                <w:rFonts w:hint="eastAsia"/>
                <w:b/>
                <w:bCs/>
                <w:sz w:val="24"/>
                <w:szCs w:val="24"/>
              </w:rPr>
              <w:t>设施</w:t>
            </w:r>
          </w:p>
          <w:p>
            <w:pPr>
              <w:adjustRightInd w:val="0"/>
              <w:spacing w:line="240" w:lineRule="exact"/>
              <w:jc w:val="center"/>
              <w:rPr>
                <w:b/>
                <w:bCs/>
                <w:sz w:val="24"/>
                <w:szCs w:val="24"/>
              </w:rPr>
            </w:pPr>
            <w:r>
              <w:rPr>
                <w:rFonts w:hint="eastAsia"/>
                <w:b/>
                <w:bCs/>
                <w:sz w:val="24"/>
                <w:szCs w:val="24"/>
              </w:rPr>
              <w:t>类别</w:t>
            </w:r>
          </w:p>
        </w:tc>
        <w:tc>
          <w:tcPr>
            <w:tcW w:w="1930" w:type="dxa"/>
            <w:gridSpan w:val="4"/>
            <w:vAlign w:val="center"/>
          </w:tcPr>
          <w:p>
            <w:pPr>
              <w:adjustRightInd w:val="0"/>
              <w:spacing w:line="240" w:lineRule="exact"/>
              <w:jc w:val="center"/>
              <w:rPr>
                <w:b/>
                <w:bCs/>
                <w:sz w:val="24"/>
                <w:szCs w:val="24"/>
              </w:rPr>
            </w:pPr>
            <w:r>
              <w:rPr>
                <w:rFonts w:hint="eastAsia"/>
                <w:b/>
                <w:bCs/>
                <w:sz w:val="24"/>
                <w:szCs w:val="24"/>
              </w:rPr>
              <w:t>设置项目</w:t>
            </w:r>
          </w:p>
        </w:tc>
        <w:tc>
          <w:tcPr>
            <w:tcW w:w="1330" w:type="dxa"/>
            <w:vAlign w:val="center"/>
          </w:tcPr>
          <w:p>
            <w:pPr>
              <w:adjustRightInd w:val="0"/>
              <w:spacing w:line="240" w:lineRule="exact"/>
              <w:jc w:val="center"/>
              <w:rPr>
                <w:b/>
                <w:bCs/>
                <w:sz w:val="24"/>
                <w:szCs w:val="24"/>
              </w:rPr>
            </w:pPr>
            <w:r>
              <w:rPr>
                <w:rFonts w:hint="eastAsia"/>
                <w:b/>
                <w:bCs/>
                <w:sz w:val="24"/>
                <w:szCs w:val="24"/>
              </w:rPr>
              <w:t>用地面积</w:t>
            </w:r>
            <w:r>
              <w:rPr>
                <w:b/>
                <w:kern w:val="0"/>
                <w:sz w:val="24"/>
                <w:szCs w:val="24"/>
              </w:rPr>
              <w:t>（</w:t>
            </w:r>
            <w:r>
              <w:rPr>
                <w:rFonts w:hint="eastAsia"/>
                <w:b/>
                <w:kern w:val="0"/>
                <w:sz w:val="24"/>
                <w:szCs w:val="24"/>
              </w:rPr>
              <w:t>平方米</w:t>
            </w:r>
            <w:r>
              <w:rPr>
                <w:b/>
                <w:kern w:val="0"/>
                <w:sz w:val="24"/>
                <w:szCs w:val="24"/>
              </w:rPr>
              <w:t>）</w:t>
            </w:r>
          </w:p>
        </w:tc>
        <w:tc>
          <w:tcPr>
            <w:tcW w:w="1417" w:type="dxa"/>
            <w:vAlign w:val="center"/>
          </w:tcPr>
          <w:p>
            <w:pPr>
              <w:adjustRightInd w:val="0"/>
              <w:spacing w:line="240" w:lineRule="exact"/>
              <w:jc w:val="center"/>
              <w:rPr>
                <w:b/>
                <w:bCs/>
                <w:sz w:val="24"/>
                <w:szCs w:val="24"/>
              </w:rPr>
            </w:pPr>
            <w:r>
              <w:rPr>
                <w:rFonts w:hint="eastAsia"/>
                <w:b/>
                <w:bCs/>
                <w:sz w:val="24"/>
                <w:szCs w:val="24"/>
              </w:rPr>
              <w:t>建筑面积</w:t>
            </w:r>
            <w:r>
              <w:rPr>
                <w:b/>
                <w:kern w:val="0"/>
                <w:sz w:val="24"/>
                <w:szCs w:val="24"/>
              </w:rPr>
              <w:t>（</w:t>
            </w:r>
            <w:r>
              <w:rPr>
                <w:rFonts w:hint="eastAsia"/>
                <w:b/>
                <w:kern w:val="0"/>
                <w:sz w:val="24"/>
                <w:szCs w:val="24"/>
              </w:rPr>
              <w:t>平方米</w:t>
            </w:r>
            <w:r>
              <w:rPr>
                <w:b/>
                <w:kern w:val="0"/>
                <w:sz w:val="24"/>
                <w:szCs w:val="24"/>
              </w:rPr>
              <w:t>）</w:t>
            </w:r>
          </w:p>
        </w:tc>
        <w:tc>
          <w:tcPr>
            <w:tcW w:w="1276" w:type="dxa"/>
            <w:vMerge w:val="continue"/>
            <w:vAlign w:val="center"/>
          </w:tcPr>
          <w:p>
            <w:pPr>
              <w:adjustRightInd w:val="0"/>
              <w:spacing w:line="240" w:lineRule="exact"/>
              <w:jc w:val="center"/>
              <w:rPr>
                <w:b/>
                <w:bCs/>
                <w:sz w:val="24"/>
                <w:szCs w:val="24"/>
              </w:rPr>
            </w:pPr>
          </w:p>
        </w:tc>
        <w:tc>
          <w:tcPr>
            <w:tcW w:w="3969" w:type="dxa"/>
            <w:vMerge w:val="continue"/>
          </w:tcPr>
          <w:p>
            <w:pPr>
              <w:adjustRightInd w:val="0"/>
              <w:spacing w:line="240" w:lineRule="exact"/>
              <w:jc w:val="center"/>
              <w:rPr>
                <w:b/>
                <w:bCs/>
                <w:sz w:val="24"/>
                <w:szCs w:val="24"/>
              </w:rPr>
            </w:pPr>
          </w:p>
        </w:tc>
        <w:tc>
          <w:tcPr>
            <w:tcW w:w="3260" w:type="dxa"/>
            <w:vMerge w:val="continue"/>
          </w:tcPr>
          <w:p>
            <w:pPr>
              <w:adjustRightInd w:val="0"/>
              <w:spacing w:line="24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01" w:type="dxa"/>
            <w:vMerge w:val="restart"/>
            <w:vAlign w:val="center"/>
          </w:tcPr>
          <w:p>
            <w:pPr>
              <w:adjustRightInd w:val="0"/>
              <w:spacing w:line="240" w:lineRule="exact"/>
              <w:jc w:val="center"/>
              <w:rPr>
                <w:sz w:val="24"/>
                <w:szCs w:val="24"/>
              </w:rPr>
            </w:pPr>
            <w:r>
              <w:rPr>
                <w:rFonts w:hint="eastAsia"/>
                <w:sz w:val="24"/>
                <w:szCs w:val="24"/>
              </w:rPr>
              <w:t>行政管理与社区服务设施</w:t>
            </w:r>
          </w:p>
        </w:tc>
        <w:tc>
          <w:tcPr>
            <w:tcW w:w="850" w:type="dxa"/>
            <w:gridSpan w:val="2"/>
            <w:vMerge w:val="restart"/>
            <w:vAlign w:val="center"/>
          </w:tcPr>
          <w:p>
            <w:pPr>
              <w:adjustRightInd w:val="0"/>
              <w:spacing w:line="240" w:lineRule="exact"/>
              <w:jc w:val="center"/>
              <w:rPr>
                <w:sz w:val="24"/>
                <w:szCs w:val="24"/>
              </w:rPr>
            </w:pPr>
            <w:r>
              <w:rPr>
                <w:rFonts w:hint="eastAsia"/>
                <w:sz w:val="24"/>
                <w:szCs w:val="24"/>
              </w:rPr>
              <w:t>社区管理中心</w:t>
            </w:r>
          </w:p>
        </w:tc>
        <w:tc>
          <w:tcPr>
            <w:tcW w:w="1080" w:type="dxa"/>
            <w:gridSpan w:val="2"/>
            <w:vAlign w:val="center"/>
          </w:tcPr>
          <w:p>
            <w:pPr>
              <w:adjustRightInd w:val="0"/>
              <w:spacing w:line="240" w:lineRule="exact"/>
              <w:jc w:val="center"/>
              <w:rPr>
                <w:sz w:val="24"/>
                <w:szCs w:val="24"/>
              </w:rPr>
            </w:pPr>
            <w:r>
              <w:rPr>
                <w:rFonts w:hint="eastAsia"/>
                <w:sz w:val="24"/>
                <w:szCs w:val="24"/>
              </w:rPr>
              <w:t>村民委员会</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w:t>
            </w:r>
            <w:r>
              <w:rPr>
                <w:sz w:val="24"/>
                <w:szCs w:val="24"/>
              </w:rPr>
              <w:t>400</w:t>
            </w:r>
          </w:p>
        </w:tc>
        <w:tc>
          <w:tcPr>
            <w:tcW w:w="1276" w:type="dxa"/>
            <w:vAlign w:val="center"/>
          </w:tcPr>
          <w:p>
            <w:pPr>
              <w:adjustRightInd w:val="0"/>
              <w:spacing w:line="240" w:lineRule="exact"/>
              <w:jc w:val="center"/>
              <w:rPr>
                <w:sz w:val="24"/>
                <w:szCs w:val="24"/>
              </w:rPr>
            </w:pPr>
            <w:r>
              <w:rPr>
                <w:sz w:val="24"/>
                <w:szCs w:val="24"/>
              </w:rPr>
              <w:t>0.3-1</w:t>
            </w:r>
          </w:p>
        </w:tc>
        <w:tc>
          <w:tcPr>
            <w:tcW w:w="3969" w:type="dxa"/>
            <w:vAlign w:val="center"/>
          </w:tcPr>
          <w:p>
            <w:pPr>
              <w:adjustRightInd w:val="0"/>
              <w:spacing w:line="240" w:lineRule="exact"/>
              <w:rPr>
                <w:sz w:val="24"/>
                <w:szCs w:val="24"/>
              </w:rPr>
            </w:pPr>
          </w:p>
        </w:tc>
        <w:tc>
          <w:tcPr>
            <w:tcW w:w="3260" w:type="dxa"/>
            <w:vMerge w:val="restart"/>
            <w:vAlign w:val="center"/>
          </w:tcPr>
          <w:p>
            <w:pPr>
              <w:adjustRightInd w:val="0"/>
              <w:spacing w:line="240" w:lineRule="exact"/>
              <w:rPr>
                <w:sz w:val="24"/>
                <w:szCs w:val="24"/>
              </w:rPr>
            </w:pPr>
            <w:r>
              <w:rPr>
                <w:sz w:val="24"/>
                <w:szCs w:val="24"/>
              </w:rPr>
              <w:t>1</w:t>
            </w:r>
            <w:r>
              <w:rPr>
                <w:rFonts w:hint="eastAsia"/>
                <w:sz w:val="24"/>
                <w:szCs w:val="24"/>
              </w:rPr>
              <w:t>.《关于加强和改进村民委员会建设的实施意见》（粤办发</w:t>
            </w:r>
            <w:r>
              <w:rPr>
                <w:rFonts w:hint="eastAsia" w:ascii="仿宋_GB2312" w:hAnsi="仿宋_GB2312" w:cs="仿宋_GB2312"/>
                <w:sz w:val="24"/>
                <w:szCs w:val="24"/>
              </w:rPr>
              <w:t>〔</w:t>
            </w:r>
            <w:r>
              <w:rPr>
                <w:rFonts w:hint="eastAsia"/>
                <w:sz w:val="24"/>
                <w:szCs w:val="24"/>
              </w:rPr>
              <w:t>2011</w:t>
            </w:r>
            <w:r>
              <w:rPr>
                <w:rFonts w:hint="eastAsia" w:ascii="仿宋_GB2312" w:hAnsi="仿宋_GB2312" w:cs="仿宋_GB2312"/>
                <w:sz w:val="24"/>
                <w:szCs w:val="24"/>
              </w:rPr>
              <w:t>〕</w:t>
            </w:r>
            <w:r>
              <w:rPr>
                <w:rFonts w:hint="eastAsia"/>
                <w:sz w:val="24"/>
                <w:szCs w:val="24"/>
              </w:rPr>
              <w:t>22号）</w:t>
            </w:r>
          </w:p>
          <w:p>
            <w:pPr>
              <w:adjustRightInd w:val="0"/>
              <w:spacing w:line="240" w:lineRule="exact"/>
              <w:rPr>
                <w:sz w:val="24"/>
                <w:szCs w:val="24"/>
              </w:rPr>
            </w:pPr>
            <w:r>
              <w:rPr>
                <w:rFonts w:hint="eastAsia"/>
                <w:sz w:val="24"/>
                <w:szCs w:val="24"/>
              </w:rPr>
              <w:t>2.《广州市全面推进城乡社区协商的工作方案》（穗社建办</w:t>
            </w:r>
            <w:r>
              <w:rPr>
                <w:rFonts w:hint="eastAsia" w:ascii="仿宋_GB2312" w:hAnsi="仿宋_GB2312" w:cs="仿宋_GB2312"/>
                <w:sz w:val="24"/>
                <w:szCs w:val="24"/>
              </w:rPr>
              <w:t>〔</w:t>
            </w:r>
            <w:r>
              <w:rPr>
                <w:rFonts w:hint="eastAsia"/>
                <w:sz w:val="24"/>
                <w:szCs w:val="24"/>
              </w:rPr>
              <w:t>2017</w:t>
            </w:r>
            <w:r>
              <w:rPr>
                <w:rFonts w:hint="eastAsia" w:ascii="仿宋_GB2312" w:hAnsi="仿宋_GB2312" w:cs="仿宋_GB2312"/>
                <w:sz w:val="24"/>
                <w:szCs w:val="24"/>
              </w:rPr>
              <w:t>〕</w:t>
            </w:r>
            <w:r>
              <w:rPr>
                <w:rFonts w:hint="eastAsia"/>
                <w:sz w:val="24"/>
                <w:szCs w:val="24"/>
              </w:rPr>
              <w:t>8号）</w:t>
            </w:r>
          </w:p>
          <w:p>
            <w:pPr>
              <w:adjustRightInd w:val="0"/>
              <w:spacing w:line="240" w:lineRule="exact"/>
              <w:rPr>
                <w:sz w:val="24"/>
                <w:szCs w:val="24"/>
              </w:rPr>
            </w:pPr>
            <w:r>
              <w:rPr>
                <w:sz w:val="24"/>
                <w:szCs w:val="24"/>
              </w:rPr>
              <w:t>3</w:t>
            </w:r>
            <w:r>
              <w:rPr>
                <w:rFonts w:hint="eastAsia"/>
                <w:sz w:val="24"/>
                <w:szCs w:val="24"/>
              </w:rPr>
              <w:t>.《关于加快推进我省行政村（社区）综合性文化服务中心全覆盖建设的通知》（粤文公</w:t>
            </w:r>
            <w:r>
              <w:rPr>
                <w:sz w:val="24"/>
                <w:szCs w:val="24"/>
              </w:rPr>
              <w:t>〔2017〕84</w:t>
            </w:r>
            <w:r>
              <w:rPr>
                <w:rFonts w:hint="eastAsia"/>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101" w:type="dxa"/>
            <w:vMerge w:val="continue"/>
            <w:vAlign w:val="center"/>
          </w:tcPr>
          <w:p>
            <w:pPr>
              <w:adjustRightInd w:val="0"/>
              <w:spacing w:line="240" w:lineRule="exact"/>
              <w:jc w:val="center"/>
              <w:rPr>
                <w:sz w:val="24"/>
                <w:szCs w:val="24"/>
              </w:rPr>
            </w:pPr>
          </w:p>
        </w:tc>
        <w:tc>
          <w:tcPr>
            <w:tcW w:w="850" w:type="dxa"/>
            <w:gridSpan w:val="2"/>
            <w:vMerge w:val="continue"/>
            <w:vAlign w:val="center"/>
          </w:tcPr>
          <w:p>
            <w:pPr>
              <w:adjustRightInd w:val="0"/>
              <w:spacing w:line="240" w:lineRule="exact"/>
              <w:jc w:val="center"/>
              <w:rPr>
                <w:sz w:val="24"/>
                <w:szCs w:val="24"/>
              </w:rPr>
            </w:pPr>
          </w:p>
        </w:tc>
        <w:tc>
          <w:tcPr>
            <w:tcW w:w="1080" w:type="dxa"/>
            <w:gridSpan w:val="2"/>
            <w:vAlign w:val="center"/>
          </w:tcPr>
          <w:p>
            <w:pPr>
              <w:adjustRightInd w:val="0"/>
              <w:spacing w:line="240" w:lineRule="exact"/>
              <w:jc w:val="center"/>
              <w:rPr>
                <w:sz w:val="24"/>
                <w:szCs w:val="24"/>
              </w:rPr>
            </w:pPr>
            <w:r>
              <w:rPr>
                <w:rFonts w:hint="eastAsia"/>
                <w:sz w:val="24"/>
                <w:szCs w:val="24"/>
              </w:rPr>
              <w:t>村民议事厅</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p>
        </w:tc>
        <w:tc>
          <w:tcPr>
            <w:tcW w:w="3260"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101" w:type="dxa"/>
            <w:vMerge w:val="continue"/>
            <w:vAlign w:val="center"/>
          </w:tcPr>
          <w:p>
            <w:pPr>
              <w:adjustRightInd w:val="0"/>
              <w:spacing w:line="240" w:lineRule="exact"/>
              <w:jc w:val="center"/>
              <w:rPr>
                <w:sz w:val="24"/>
                <w:szCs w:val="24"/>
              </w:rPr>
            </w:pPr>
          </w:p>
        </w:tc>
        <w:tc>
          <w:tcPr>
            <w:tcW w:w="850" w:type="dxa"/>
            <w:gridSpan w:val="2"/>
            <w:vMerge w:val="continue"/>
            <w:vAlign w:val="center"/>
          </w:tcPr>
          <w:p>
            <w:pPr>
              <w:adjustRightInd w:val="0"/>
              <w:spacing w:line="240" w:lineRule="exact"/>
              <w:jc w:val="center"/>
              <w:rPr>
                <w:sz w:val="24"/>
                <w:szCs w:val="24"/>
              </w:rPr>
            </w:pPr>
          </w:p>
        </w:tc>
        <w:tc>
          <w:tcPr>
            <w:tcW w:w="1080" w:type="dxa"/>
            <w:gridSpan w:val="2"/>
            <w:vAlign w:val="center"/>
          </w:tcPr>
          <w:p>
            <w:pPr>
              <w:adjustRightInd w:val="0"/>
              <w:spacing w:line="240" w:lineRule="exact"/>
              <w:jc w:val="center"/>
              <w:rPr>
                <w:sz w:val="24"/>
                <w:szCs w:val="24"/>
              </w:rPr>
            </w:pPr>
            <w:r>
              <w:rPr>
                <w:rFonts w:hint="eastAsia"/>
                <w:sz w:val="24"/>
                <w:szCs w:val="24"/>
              </w:rPr>
              <w:t>社区议事厅</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100</w:t>
            </w: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宜与社区居委会集中设置。</w:t>
            </w:r>
          </w:p>
        </w:tc>
        <w:tc>
          <w:tcPr>
            <w:tcW w:w="3260"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101" w:type="dxa"/>
            <w:vMerge w:val="continue"/>
            <w:vAlign w:val="center"/>
          </w:tcPr>
          <w:p>
            <w:pPr>
              <w:adjustRightInd w:val="0"/>
              <w:spacing w:line="240" w:lineRule="exact"/>
              <w:jc w:val="center"/>
              <w:rPr>
                <w:sz w:val="24"/>
                <w:szCs w:val="24"/>
              </w:rPr>
            </w:pPr>
          </w:p>
        </w:tc>
        <w:tc>
          <w:tcPr>
            <w:tcW w:w="850" w:type="dxa"/>
            <w:gridSpan w:val="2"/>
            <w:vMerge w:val="restart"/>
            <w:vAlign w:val="center"/>
          </w:tcPr>
          <w:p>
            <w:pPr>
              <w:adjustRightInd w:val="0"/>
              <w:spacing w:line="240" w:lineRule="exact"/>
              <w:jc w:val="center"/>
              <w:rPr>
                <w:sz w:val="24"/>
                <w:szCs w:val="24"/>
              </w:rPr>
            </w:pPr>
            <w:r>
              <w:rPr>
                <w:rFonts w:hint="eastAsia"/>
                <w:sz w:val="24"/>
                <w:szCs w:val="24"/>
              </w:rPr>
              <w:t>社区服务中心</w:t>
            </w:r>
          </w:p>
        </w:tc>
        <w:tc>
          <w:tcPr>
            <w:tcW w:w="1080" w:type="dxa"/>
            <w:gridSpan w:val="2"/>
            <w:vAlign w:val="center"/>
          </w:tcPr>
          <w:p>
            <w:pPr>
              <w:adjustRightInd w:val="0"/>
              <w:spacing w:line="240" w:lineRule="exact"/>
              <w:jc w:val="center"/>
              <w:rPr>
                <w:sz w:val="24"/>
                <w:szCs w:val="24"/>
              </w:rPr>
            </w:pPr>
            <w:r>
              <w:rPr>
                <w:rFonts w:hint="eastAsia"/>
                <w:sz w:val="24"/>
                <w:szCs w:val="24"/>
              </w:rPr>
              <w:t>综合文化服务中心</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≥200</w:t>
            </w:r>
          </w:p>
        </w:tc>
        <w:tc>
          <w:tcPr>
            <w:tcW w:w="1276" w:type="dxa"/>
            <w:vAlign w:val="center"/>
          </w:tcPr>
          <w:p>
            <w:pPr>
              <w:adjustRightInd w:val="0"/>
              <w:spacing w:line="240" w:lineRule="exact"/>
              <w:jc w:val="center"/>
              <w:rPr>
                <w:sz w:val="24"/>
                <w:szCs w:val="24"/>
              </w:rPr>
            </w:pPr>
            <w:r>
              <w:rPr>
                <w:sz w:val="24"/>
                <w:szCs w:val="24"/>
              </w:rPr>
              <w:t>0.3-1</w:t>
            </w:r>
          </w:p>
        </w:tc>
        <w:tc>
          <w:tcPr>
            <w:tcW w:w="3969" w:type="dxa"/>
            <w:vAlign w:val="center"/>
          </w:tcPr>
          <w:p>
            <w:pPr>
              <w:adjustRightInd w:val="0"/>
              <w:spacing w:line="240" w:lineRule="exact"/>
              <w:rPr>
                <w:sz w:val="24"/>
                <w:szCs w:val="24"/>
              </w:rPr>
            </w:pPr>
          </w:p>
        </w:tc>
        <w:tc>
          <w:tcPr>
            <w:tcW w:w="3260"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01" w:type="dxa"/>
            <w:vMerge w:val="continue"/>
            <w:vAlign w:val="center"/>
          </w:tcPr>
          <w:p>
            <w:pPr>
              <w:adjustRightInd w:val="0"/>
              <w:spacing w:line="240" w:lineRule="exact"/>
              <w:jc w:val="center"/>
              <w:rPr>
                <w:sz w:val="24"/>
                <w:szCs w:val="24"/>
              </w:rPr>
            </w:pPr>
          </w:p>
        </w:tc>
        <w:tc>
          <w:tcPr>
            <w:tcW w:w="850" w:type="dxa"/>
            <w:gridSpan w:val="2"/>
            <w:vMerge w:val="continue"/>
            <w:vAlign w:val="center"/>
          </w:tcPr>
          <w:p>
            <w:pPr>
              <w:adjustRightInd w:val="0"/>
              <w:spacing w:line="240" w:lineRule="exact"/>
              <w:jc w:val="center"/>
              <w:rPr>
                <w:sz w:val="24"/>
                <w:szCs w:val="24"/>
              </w:rPr>
            </w:pPr>
          </w:p>
        </w:tc>
        <w:tc>
          <w:tcPr>
            <w:tcW w:w="1080" w:type="dxa"/>
            <w:gridSpan w:val="2"/>
            <w:vAlign w:val="center"/>
          </w:tcPr>
          <w:p>
            <w:pPr>
              <w:adjustRightInd w:val="0"/>
              <w:spacing w:line="240" w:lineRule="exact"/>
              <w:jc w:val="center"/>
              <w:rPr>
                <w:sz w:val="24"/>
                <w:szCs w:val="24"/>
              </w:rPr>
            </w:pPr>
            <w:r>
              <w:rPr>
                <w:rFonts w:hint="eastAsia"/>
                <w:sz w:val="24"/>
                <w:szCs w:val="24"/>
              </w:rPr>
              <w:t>村史博物馆</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p>
        </w:tc>
        <w:tc>
          <w:tcPr>
            <w:tcW w:w="1276" w:type="dxa"/>
            <w:vAlign w:val="center"/>
          </w:tcPr>
          <w:p>
            <w:pPr>
              <w:adjustRightInd w:val="0"/>
              <w:spacing w:line="240" w:lineRule="exact"/>
              <w:jc w:val="center"/>
              <w:rPr>
                <w:sz w:val="24"/>
                <w:szCs w:val="24"/>
              </w:rPr>
            </w:pPr>
            <w:r>
              <w:rPr>
                <w:sz w:val="24"/>
                <w:szCs w:val="24"/>
              </w:rPr>
              <w:t>0.3-1</w:t>
            </w:r>
          </w:p>
        </w:tc>
        <w:tc>
          <w:tcPr>
            <w:tcW w:w="3969" w:type="dxa"/>
            <w:vAlign w:val="center"/>
          </w:tcPr>
          <w:p>
            <w:pPr>
              <w:adjustRightInd w:val="0"/>
              <w:spacing w:line="240" w:lineRule="exact"/>
              <w:rPr>
                <w:sz w:val="24"/>
                <w:szCs w:val="24"/>
              </w:rPr>
            </w:pPr>
          </w:p>
        </w:tc>
        <w:tc>
          <w:tcPr>
            <w:tcW w:w="3260" w:type="dxa"/>
            <w:vMerge w:val="continue"/>
            <w:vAlign w:val="center"/>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trPr>
        <w:tc>
          <w:tcPr>
            <w:tcW w:w="1101" w:type="dxa"/>
            <w:vMerge w:val="restart"/>
            <w:vAlign w:val="center"/>
          </w:tcPr>
          <w:p>
            <w:pPr>
              <w:adjustRightInd w:val="0"/>
              <w:spacing w:line="240" w:lineRule="exact"/>
              <w:jc w:val="center"/>
              <w:rPr>
                <w:sz w:val="24"/>
                <w:szCs w:val="24"/>
              </w:rPr>
            </w:pPr>
            <w:r>
              <w:rPr>
                <w:sz w:val="24"/>
                <w:szCs w:val="24"/>
              </w:rPr>
              <w:t>医疗卫生设施</w:t>
            </w:r>
          </w:p>
        </w:tc>
        <w:tc>
          <w:tcPr>
            <w:tcW w:w="1930" w:type="dxa"/>
            <w:gridSpan w:val="4"/>
            <w:vAlign w:val="center"/>
          </w:tcPr>
          <w:p>
            <w:pPr>
              <w:adjustRightInd w:val="0"/>
              <w:spacing w:line="240" w:lineRule="exact"/>
              <w:jc w:val="center"/>
              <w:rPr>
                <w:sz w:val="24"/>
                <w:szCs w:val="24"/>
              </w:rPr>
            </w:pPr>
            <w:r>
              <w:rPr>
                <w:rFonts w:hint="eastAsia"/>
                <w:sz w:val="24"/>
                <w:szCs w:val="24"/>
              </w:rPr>
              <w:t>社区</w:t>
            </w:r>
            <w:r>
              <w:rPr>
                <w:sz w:val="24"/>
                <w:szCs w:val="24"/>
              </w:rPr>
              <w:t>卫生服务站</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≥350</w:t>
            </w:r>
          </w:p>
        </w:tc>
        <w:tc>
          <w:tcPr>
            <w:tcW w:w="1276" w:type="dxa"/>
            <w:vAlign w:val="center"/>
          </w:tcPr>
          <w:p>
            <w:pPr>
              <w:adjustRightInd w:val="0"/>
              <w:spacing w:line="240" w:lineRule="exact"/>
              <w:jc w:val="center"/>
              <w:rPr>
                <w:sz w:val="24"/>
                <w:szCs w:val="24"/>
              </w:rPr>
            </w:pPr>
            <w:r>
              <w:rPr>
                <w:rFonts w:hint="eastAsia"/>
                <w:sz w:val="24"/>
                <w:szCs w:val="24"/>
              </w:rPr>
              <w:t>1-1.5</w:t>
            </w:r>
          </w:p>
        </w:tc>
        <w:tc>
          <w:tcPr>
            <w:tcW w:w="3969" w:type="dxa"/>
            <w:vAlign w:val="center"/>
          </w:tcPr>
          <w:p>
            <w:pPr>
              <w:adjustRightInd w:val="0"/>
              <w:spacing w:line="240" w:lineRule="exact"/>
              <w:rPr>
                <w:sz w:val="24"/>
                <w:szCs w:val="24"/>
              </w:rPr>
            </w:pPr>
            <w:r>
              <w:rPr>
                <w:rFonts w:hint="eastAsia"/>
                <w:sz w:val="24"/>
                <w:szCs w:val="24"/>
              </w:rPr>
              <w:t>全部或1/2以上的面积设在首层，应设置相对独立的出入口和垂直电梯。</w:t>
            </w:r>
          </w:p>
        </w:tc>
        <w:tc>
          <w:tcPr>
            <w:tcW w:w="3260" w:type="dxa"/>
            <w:vAlign w:val="center"/>
          </w:tcPr>
          <w:p>
            <w:pPr>
              <w:adjustRightInd w:val="0"/>
              <w:spacing w:line="240" w:lineRule="exact"/>
              <w:rPr>
                <w:sz w:val="24"/>
                <w:szCs w:val="24"/>
              </w:rPr>
            </w:pPr>
            <w:r>
              <w:rPr>
                <w:rFonts w:hint="eastAsia"/>
                <w:sz w:val="24"/>
                <w:szCs w:val="24"/>
              </w:rPr>
              <w:t>1.《社区卫生服务中心、站建设标准》（建标163-2013）</w:t>
            </w:r>
          </w:p>
          <w:p>
            <w:pPr>
              <w:adjustRightInd w:val="0"/>
              <w:spacing w:line="240" w:lineRule="exact"/>
              <w:rPr>
                <w:sz w:val="24"/>
                <w:szCs w:val="24"/>
              </w:rPr>
            </w:pPr>
            <w:r>
              <w:rPr>
                <w:rFonts w:hint="eastAsia"/>
                <w:sz w:val="24"/>
                <w:szCs w:val="24"/>
              </w:rPr>
              <w:t>2.参照《北京市社区卫生服务中心（站）设置与建设规划》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trPr>
        <w:tc>
          <w:tcPr>
            <w:tcW w:w="1101" w:type="dxa"/>
            <w:vMerge w:val="continue"/>
            <w:vAlign w:val="center"/>
          </w:tcPr>
          <w:p>
            <w:pPr>
              <w:adjustRightInd w:val="0"/>
              <w:spacing w:line="240" w:lineRule="exact"/>
              <w:jc w:val="center"/>
              <w:rPr>
                <w:sz w:val="24"/>
                <w:szCs w:val="24"/>
              </w:rPr>
            </w:pPr>
          </w:p>
        </w:tc>
        <w:tc>
          <w:tcPr>
            <w:tcW w:w="1930" w:type="dxa"/>
            <w:gridSpan w:val="4"/>
            <w:vAlign w:val="center"/>
          </w:tcPr>
          <w:p>
            <w:pPr>
              <w:adjustRightInd w:val="0"/>
              <w:spacing w:line="240" w:lineRule="exact"/>
              <w:jc w:val="center"/>
              <w:rPr>
                <w:sz w:val="24"/>
                <w:szCs w:val="24"/>
              </w:rPr>
            </w:pPr>
            <w:r>
              <w:rPr>
                <w:rFonts w:hint="eastAsia"/>
                <w:sz w:val="24"/>
                <w:szCs w:val="24"/>
              </w:rPr>
              <w:t>护理站</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30</w:t>
            </w: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可与养老等设施合建。</w:t>
            </w:r>
          </w:p>
        </w:tc>
        <w:tc>
          <w:tcPr>
            <w:tcW w:w="3260" w:type="dxa"/>
            <w:vAlign w:val="center"/>
          </w:tcPr>
          <w:p>
            <w:pPr>
              <w:adjustRightInd w:val="0"/>
              <w:spacing w:line="240" w:lineRule="exact"/>
              <w:rPr>
                <w:sz w:val="24"/>
                <w:szCs w:val="24"/>
              </w:rPr>
            </w:pPr>
            <w:r>
              <w:rPr>
                <w:rFonts w:hint="eastAsia"/>
                <w:sz w:val="24"/>
                <w:szCs w:val="24"/>
              </w:rPr>
              <w:t>1.《市卫计委 市民政局 市发改委 市财政局 市人社局关于印发在社区建设护理站的实施方案的通知》（穗卫家庭〔2018〕4号）</w:t>
            </w:r>
          </w:p>
          <w:p>
            <w:pPr>
              <w:adjustRightInd w:val="0"/>
              <w:spacing w:line="240" w:lineRule="exact"/>
              <w:rPr>
                <w:sz w:val="24"/>
                <w:szCs w:val="24"/>
              </w:rPr>
            </w:pPr>
            <w:r>
              <w:rPr>
                <w:rFonts w:hint="eastAsia"/>
                <w:sz w:val="24"/>
                <w:szCs w:val="24"/>
              </w:rPr>
              <w:t>2.《医疗机构基本标准》(卫医发（1994）第30号）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9" w:hRule="atLeast"/>
        </w:trPr>
        <w:tc>
          <w:tcPr>
            <w:tcW w:w="1101" w:type="dxa"/>
            <w:vAlign w:val="center"/>
          </w:tcPr>
          <w:p>
            <w:pPr>
              <w:adjustRightInd w:val="0"/>
              <w:spacing w:line="240" w:lineRule="exact"/>
              <w:jc w:val="center"/>
              <w:rPr>
                <w:sz w:val="24"/>
                <w:szCs w:val="24"/>
              </w:rPr>
            </w:pPr>
            <w:r>
              <w:rPr>
                <w:rFonts w:hint="eastAsia"/>
                <w:sz w:val="24"/>
                <w:szCs w:val="24"/>
              </w:rPr>
              <w:t>文化体育设施</w:t>
            </w:r>
          </w:p>
        </w:tc>
        <w:tc>
          <w:tcPr>
            <w:tcW w:w="1930" w:type="dxa"/>
            <w:gridSpan w:val="4"/>
            <w:vAlign w:val="center"/>
          </w:tcPr>
          <w:p>
            <w:pPr>
              <w:adjustRightInd w:val="0"/>
              <w:spacing w:line="240" w:lineRule="exact"/>
              <w:jc w:val="center"/>
              <w:rPr>
                <w:sz w:val="24"/>
                <w:szCs w:val="24"/>
              </w:rPr>
            </w:pPr>
            <w:r>
              <w:rPr>
                <w:rFonts w:hint="eastAsia"/>
                <w:sz w:val="24"/>
                <w:szCs w:val="24"/>
              </w:rPr>
              <w:t>居民健身场所（文体广场）</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可设于建筑首层架空层，主要用于群众性文化体育健身活动，兼顾休憩和交往的功能。应有简易戏台，可承担小型戏曲演出。</w:t>
            </w:r>
          </w:p>
        </w:tc>
        <w:tc>
          <w:tcPr>
            <w:tcW w:w="3260" w:type="dxa"/>
            <w:vAlign w:val="center"/>
          </w:tcPr>
          <w:p>
            <w:pPr>
              <w:adjustRightInd w:val="0"/>
              <w:spacing w:line="240" w:lineRule="exact"/>
              <w:rPr>
                <w:sz w:val="24"/>
                <w:szCs w:val="24"/>
              </w:rPr>
            </w:pPr>
            <w:r>
              <w:rPr>
                <w:rFonts w:hint="eastAsia"/>
                <w:sz w:val="24"/>
                <w:szCs w:val="24"/>
              </w:rPr>
              <w:t>《广州市人民政府办公厅关于印发广州市创建全民运动健身模范市工作规划和实施方案的通知》（穗府办函〔2018〕176号）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9" w:hRule="atLeast"/>
        </w:trPr>
        <w:tc>
          <w:tcPr>
            <w:tcW w:w="1101" w:type="dxa"/>
            <w:vAlign w:val="center"/>
          </w:tcPr>
          <w:p>
            <w:pPr>
              <w:adjustRightInd w:val="0"/>
              <w:spacing w:line="240" w:lineRule="exact"/>
              <w:jc w:val="center"/>
              <w:rPr>
                <w:sz w:val="24"/>
                <w:szCs w:val="24"/>
              </w:rPr>
            </w:pPr>
            <w:r>
              <w:rPr>
                <w:rFonts w:hint="eastAsia"/>
                <w:sz w:val="24"/>
                <w:szCs w:val="24"/>
              </w:rPr>
              <w:t>公园</w:t>
            </w:r>
          </w:p>
          <w:p>
            <w:pPr>
              <w:adjustRightInd w:val="0"/>
              <w:spacing w:line="240" w:lineRule="exact"/>
              <w:jc w:val="center"/>
              <w:rPr>
                <w:sz w:val="24"/>
                <w:szCs w:val="24"/>
              </w:rPr>
            </w:pPr>
            <w:r>
              <w:rPr>
                <w:rFonts w:hint="eastAsia"/>
                <w:sz w:val="24"/>
                <w:szCs w:val="24"/>
              </w:rPr>
              <w:t>设施</w:t>
            </w:r>
          </w:p>
        </w:tc>
        <w:tc>
          <w:tcPr>
            <w:tcW w:w="1930" w:type="dxa"/>
            <w:gridSpan w:val="4"/>
            <w:vAlign w:val="center"/>
          </w:tcPr>
          <w:p>
            <w:pPr>
              <w:adjustRightInd w:val="0"/>
              <w:spacing w:line="240" w:lineRule="exact"/>
              <w:jc w:val="center"/>
              <w:rPr>
                <w:sz w:val="24"/>
                <w:szCs w:val="24"/>
              </w:rPr>
            </w:pPr>
            <w:r>
              <w:rPr>
                <w:rFonts w:hint="eastAsia"/>
                <w:sz w:val="24"/>
                <w:szCs w:val="24"/>
              </w:rPr>
              <w:t>游园</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位于城市道路用地之外、相对独立成片的、游人可以进入游憩的绿地，包括街道广场绿地、小型沿街绿化用地和村镇小游园等。</w:t>
            </w:r>
          </w:p>
        </w:tc>
        <w:tc>
          <w:tcPr>
            <w:tcW w:w="3260" w:type="dxa"/>
            <w:vAlign w:val="center"/>
          </w:tcPr>
          <w:p>
            <w:pPr>
              <w:adjustRightInd w:val="0"/>
              <w:spacing w:line="240" w:lineRule="exact"/>
              <w:rPr>
                <w:sz w:val="24"/>
                <w:szCs w:val="24"/>
              </w:rPr>
            </w:pPr>
            <w:r>
              <w:rPr>
                <w:rFonts w:hint="eastAsia"/>
                <w:sz w:val="24"/>
                <w:szCs w:val="24"/>
              </w:rPr>
              <w:t>《城市绿地分类标准》（</w:t>
            </w:r>
            <w:r>
              <w:rPr>
                <w:sz w:val="24"/>
                <w:szCs w:val="24"/>
              </w:rPr>
              <w:t>CJJ/T85-2017</w:t>
            </w:r>
            <w:r>
              <w:rPr>
                <w:rFonts w:hint="eastAsia"/>
                <w:sz w:val="24"/>
                <w:szCs w:val="24"/>
              </w:rPr>
              <w:t>）</w:t>
            </w:r>
          </w:p>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1101" w:type="dxa"/>
            <w:vMerge w:val="restart"/>
            <w:vAlign w:val="center"/>
          </w:tcPr>
          <w:p>
            <w:pPr>
              <w:adjustRightInd w:val="0"/>
              <w:spacing w:line="240" w:lineRule="exact"/>
              <w:jc w:val="center"/>
              <w:rPr>
                <w:sz w:val="24"/>
                <w:szCs w:val="24"/>
              </w:rPr>
            </w:pPr>
            <w:r>
              <w:rPr>
                <w:sz w:val="24"/>
                <w:szCs w:val="24"/>
              </w:rPr>
              <w:t>福利</w:t>
            </w:r>
          </w:p>
          <w:p>
            <w:pPr>
              <w:adjustRightInd w:val="0"/>
              <w:spacing w:line="240" w:lineRule="exact"/>
              <w:jc w:val="center"/>
              <w:rPr>
                <w:sz w:val="24"/>
                <w:szCs w:val="24"/>
              </w:rPr>
            </w:pPr>
            <w:r>
              <w:rPr>
                <w:sz w:val="24"/>
                <w:szCs w:val="24"/>
              </w:rPr>
              <w:t>设施</w:t>
            </w:r>
          </w:p>
        </w:tc>
        <w:tc>
          <w:tcPr>
            <w:tcW w:w="756" w:type="dxa"/>
            <w:vMerge w:val="restart"/>
            <w:vAlign w:val="center"/>
          </w:tcPr>
          <w:p>
            <w:pPr>
              <w:adjustRightInd w:val="0"/>
              <w:spacing w:line="240" w:lineRule="exact"/>
              <w:jc w:val="center"/>
              <w:rPr>
                <w:sz w:val="24"/>
                <w:szCs w:val="24"/>
              </w:rPr>
            </w:pPr>
            <w:r>
              <w:rPr>
                <w:rFonts w:hint="eastAsia" w:cs="仿宋_GB2312"/>
                <w:sz w:val="24"/>
                <w:szCs w:val="24"/>
              </w:rPr>
              <w:t>嵌入式社区养老服务机构</w:t>
            </w:r>
          </w:p>
        </w:tc>
        <w:tc>
          <w:tcPr>
            <w:tcW w:w="1174" w:type="dxa"/>
            <w:gridSpan w:val="3"/>
            <w:vAlign w:val="center"/>
          </w:tcPr>
          <w:p>
            <w:pPr>
              <w:adjustRightInd w:val="0"/>
              <w:spacing w:line="240" w:lineRule="exact"/>
              <w:jc w:val="center"/>
              <w:rPr>
                <w:sz w:val="24"/>
                <w:szCs w:val="24"/>
              </w:rPr>
            </w:pPr>
            <w:r>
              <w:rPr>
                <w:sz w:val="24"/>
                <w:szCs w:val="24"/>
              </w:rPr>
              <w:t>社区日间照料中心</w:t>
            </w:r>
          </w:p>
        </w:tc>
        <w:tc>
          <w:tcPr>
            <w:tcW w:w="1330" w:type="dxa"/>
            <w:vMerge w:val="restart"/>
            <w:vAlign w:val="center"/>
          </w:tcPr>
          <w:p>
            <w:pPr>
              <w:adjustRightInd w:val="0"/>
              <w:spacing w:line="240" w:lineRule="exact"/>
              <w:jc w:val="center"/>
              <w:rPr>
                <w:sz w:val="24"/>
                <w:szCs w:val="24"/>
              </w:rPr>
            </w:pPr>
          </w:p>
        </w:tc>
        <w:tc>
          <w:tcPr>
            <w:tcW w:w="1417" w:type="dxa"/>
            <w:vMerge w:val="restart"/>
            <w:vAlign w:val="center"/>
          </w:tcPr>
          <w:p>
            <w:pPr>
              <w:spacing w:line="240" w:lineRule="exact"/>
              <w:rPr>
                <w:sz w:val="24"/>
                <w:szCs w:val="24"/>
              </w:rPr>
            </w:pPr>
            <w:r>
              <w:rPr>
                <w:sz w:val="24"/>
                <w:szCs w:val="24"/>
              </w:rPr>
              <w:t>400-900</w:t>
            </w:r>
          </w:p>
        </w:tc>
        <w:tc>
          <w:tcPr>
            <w:tcW w:w="1276" w:type="dxa"/>
            <w:vMerge w:val="restart"/>
            <w:vAlign w:val="center"/>
          </w:tcPr>
          <w:p>
            <w:pPr>
              <w:adjustRightInd w:val="0"/>
              <w:spacing w:line="240" w:lineRule="exact"/>
              <w:jc w:val="center"/>
              <w:rPr>
                <w:sz w:val="24"/>
                <w:szCs w:val="24"/>
              </w:rPr>
            </w:pPr>
            <w:r>
              <w:rPr>
                <w:sz w:val="24"/>
                <w:szCs w:val="24"/>
              </w:rPr>
              <w:t>0.6-0.75</w:t>
            </w:r>
          </w:p>
        </w:tc>
        <w:tc>
          <w:tcPr>
            <w:tcW w:w="3969" w:type="dxa"/>
            <w:vMerge w:val="restart"/>
            <w:vAlign w:val="center"/>
          </w:tcPr>
          <w:p>
            <w:pPr>
              <w:adjustRightInd w:val="0"/>
              <w:spacing w:line="240" w:lineRule="exact"/>
              <w:rPr>
                <w:sz w:val="24"/>
                <w:szCs w:val="24"/>
              </w:rPr>
            </w:pPr>
            <w:r>
              <w:rPr>
                <w:rFonts w:hint="eastAsia" w:cs="仿宋_GB2312"/>
                <w:sz w:val="24"/>
                <w:szCs w:val="24"/>
              </w:rPr>
              <w:t>按照每百户不低于</w:t>
            </w:r>
            <w:r>
              <w:rPr>
                <w:sz w:val="24"/>
                <w:szCs w:val="24"/>
              </w:rPr>
              <w:t>2</w:t>
            </w:r>
            <w:r>
              <w:rPr>
                <w:rFonts w:hint="eastAsia"/>
                <w:sz w:val="24"/>
                <w:szCs w:val="24"/>
              </w:rPr>
              <w:t>5</w:t>
            </w:r>
            <w:r>
              <w:rPr>
                <w:rFonts w:hint="eastAsia" w:cs="仿宋_GB2312"/>
                <w:sz w:val="24"/>
                <w:szCs w:val="24"/>
              </w:rPr>
              <w:t>平方米设置，每个社区、行政村设置不少于一处</w:t>
            </w:r>
            <w:r>
              <w:rPr>
                <w:rFonts w:hint="eastAsia"/>
                <w:sz w:val="24"/>
                <w:szCs w:val="24"/>
              </w:rPr>
              <w:t>。应设置在交通便利、日照充足、通风良好、相对独立且便于老年人使用的位置，不得设置在地下室、半地下室；应远离污染源、噪声源、危险品生产储运、垃圾站、殡仪馆等邻避设施；在二层及以上楼层设置的，应设置无障碍电梯。</w:t>
            </w:r>
          </w:p>
        </w:tc>
        <w:tc>
          <w:tcPr>
            <w:tcW w:w="3260" w:type="dxa"/>
            <w:vMerge w:val="restart"/>
            <w:vAlign w:val="center"/>
          </w:tcPr>
          <w:p>
            <w:pPr>
              <w:adjustRightInd w:val="0"/>
              <w:spacing w:line="240" w:lineRule="exact"/>
              <w:rPr>
                <w:sz w:val="24"/>
                <w:szCs w:val="24"/>
              </w:rPr>
            </w:pPr>
            <w:r>
              <w:rPr>
                <w:rFonts w:hint="eastAsia"/>
                <w:sz w:val="24"/>
                <w:szCs w:val="24"/>
              </w:rPr>
              <w:t>1.《国务院办公厅关于推进养老服务发展的意见》（国办发〔201</w:t>
            </w:r>
            <w:r>
              <w:rPr>
                <w:sz w:val="24"/>
                <w:szCs w:val="24"/>
              </w:rPr>
              <w:t>9</w:t>
            </w:r>
            <w:r>
              <w:rPr>
                <w:rFonts w:hint="eastAsia"/>
                <w:sz w:val="24"/>
                <w:szCs w:val="24"/>
              </w:rPr>
              <w:t>〕</w:t>
            </w:r>
            <w:r>
              <w:rPr>
                <w:sz w:val="24"/>
                <w:szCs w:val="24"/>
              </w:rPr>
              <w:t>5</w:t>
            </w:r>
            <w:r>
              <w:rPr>
                <w:rFonts w:hint="eastAsia"/>
                <w:sz w:val="24"/>
                <w:szCs w:val="24"/>
              </w:rPr>
              <w:t>号）</w:t>
            </w:r>
          </w:p>
          <w:p>
            <w:pPr>
              <w:adjustRightInd w:val="0"/>
              <w:spacing w:line="240" w:lineRule="exact"/>
              <w:rPr>
                <w:sz w:val="24"/>
                <w:szCs w:val="24"/>
              </w:rPr>
            </w:pPr>
            <w:r>
              <w:rPr>
                <w:rFonts w:hint="eastAsia"/>
                <w:sz w:val="24"/>
                <w:szCs w:val="24"/>
              </w:rPr>
              <w:t>2.《民政部关于进一步扩大养老服务供给促进养老服务消费的实施意见》（民发〔201</w:t>
            </w:r>
            <w:r>
              <w:rPr>
                <w:sz w:val="24"/>
                <w:szCs w:val="24"/>
              </w:rPr>
              <w:t>9</w:t>
            </w:r>
            <w:r>
              <w:rPr>
                <w:rFonts w:hint="eastAsia"/>
                <w:sz w:val="24"/>
                <w:szCs w:val="24"/>
              </w:rPr>
              <w:t>〕</w:t>
            </w:r>
            <w:r>
              <w:rPr>
                <w:sz w:val="24"/>
                <w:szCs w:val="24"/>
              </w:rPr>
              <w:t>88</w:t>
            </w:r>
            <w:r>
              <w:rPr>
                <w:rFonts w:hint="eastAsia"/>
                <w:sz w:val="24"/>
                <w:szCs w:val="24"/>
              </w:rPr>
              <w:t>号）</w:t>
            </w:r>
          </w:p>
          <w:p>
            <w:pPr>
              <w:adjustRightInd w:val="0"/>
              <w:spacing w:line="240" w:lineRule="exact"/>
              <w:rPr>
                <w:sz w:val="24"/>
                <w:szCs w:val="24"/>
              </w:rPr>
            </w:pPr>
            <w:r>
              <w:rPr>
                <w:rFonts w:hint="eastAsia"/>
                <w:sz w:val="24"/>
                <w:szCs w:val="24"/>
              </w:rPr>
              <w:t>3.《广东省人民政府办公厅关于加快推进养老服务发展的若干措施》（粤府办〔201</w:t>
            </w:r>
            <w:r>
              <w:rPr>
                <w:sz w:val="24"/>
                <w:szCs w:val="24"/>
              </w:rPr>
              <w:t>9</w:t>
            </w:r>
            <w:r>
              <w:rPr>
                <w:rFonts w:hint="eastAsia"/>
                <w:sz w:val="24"/>
                <w:szCs w:val="24"/>
              </w:rPr>
              <w:t>〕</w:t>
            </w:r>
            <w:r>
              <w:rPr>
                <w:sz w:val="24"/>
                <w:szCs w:val="24"/>
              </w:rPr>
              <w:t>23</w:t>
            </w:r>
            <w:r>
              <w:rPr>
                <w:rFonts w:hint="eastAsia"/>
                <w:sz w:val="24"/>
                <w:szCs w:val="24"/>
              </w:rPr>
              <w:t>号）</w:t>
            </w:r>
          </w:p>
          <w:p>
            <w:pPr>
              <w:adjustRightInd w:val="0"/>
              <w:spacing w:line="240" w:lineRule="exact"/>
              <w:rPr>
                <w:sz w:val="24"/>
                <w:szCs w:val="24"/>
              </w:rPr>
            </w:pPr>
            <w:r>
              <w:rPr>
                <w:rFonts w:hint="eastAsia"/>
                <w:sz w:val="24"/>
                <w:szCs w:val="24"/>
              </w:rPr>
              <w:t>4.《广州市养老服务条例》</w:t>
            </w:r>
          </w:p>
          <w:p>
            <w:pPr>
              <w:adjustRightInd w:val="0"/>
              <w:spacing w:line="240" w:lineRule="exact"/>
              <w:rPr>
                <w:sz w:val="24"/>
                <w:szCs w:val="24"/>
              </w:rPr>
            </w:pPr>
            <w:r>
              <w:rPr>
                <w:rFonts w:hint="eastAsia"/>
                <w:sz w:val="24"/>
                <w:szCs w:val="24"/>
              </w:rPr>
              <w:t>5.《广州市养老服务条例》实施方案（穗民〔2021〕162号）</w:t>
            </w:r>
          </w:p>
          <w:p>
            <w:pPr>
              <w:adjustRightInd w:val="0"/>
              <w:spacing w:line="240" w:lineRule="exact"/>
              <w:rPr>
                <w:sz w:val="24"/>
                <w:szCs w:val="24"/>
              </w:rPr>
            </w:pPr>
            <w:r>
              <w:rPr>
                <w:rFonts w:hint="eastAsia"/>
                <w:sz w:val="24"/>
                <w:szCs w:val="24"/>
              </w:rPr>
              <w:t>6.《进一步支持社区养老服务设施规划建设和使用管理十条措施》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101" w:type="dxa"/>
            <w:vMerge w:val="continue"/>
            <w:vAlign w:val="center"/>
          </w:tcPr>
          <w:p>
            <w:pPr>
              <w:adjustRightInd w:val="0"/>
              <w:spacing w:line="240" w:lineRule="exact"/>
              <w:jc w:val="center"/>
              <w:rPr>
                <w:sz w:val="24"/>
                <w:szCs w:val="24"/>
              </w:rPr>
            </w:pPr>
          </w:p>
        </w:tc>
        <w:tc>
          <w:tcPr>
            <w:tcW w:w="756" w:type="dxa"/>
            <w:vMerge w:val="continue"/>
            <w:vAlign w:val="center"/>
          </w:tcPr>
          <w:p>
            <w:pPr>
              <w:adjustRightInd w:val="0"/>
              <w:spacing w:line="240" w:lineRule="exact"/>
              <w:jc w:val="center"/>
              <w:rPr>
                <w:sz w:val="24"/>
                <w:szCs w:val="24"/>
              </w:rPr>
            </w:pPr>
          </w:p>
        </w:tc>
        <w:tc>
          <w:tcPr>
            <w:tcW w:w="1174" w:type="dxa"/>
            <w:gridSpan w:val="3"/>
            <w:vAlign w:val="center"/>
          </w:tcPr>
          <w:p>
            <w:pPr>
              <w:adjustRightInd w:val="0"/>
              <w:spacing w:line="240" w:lineRule="exact"/>
              <w:jc w:val="center"/>
              <w:rPr>
                <w:sz w:val="24"/>
                <w:szCs w:val="24"/>
              </w:rPr>
            </w:pPr>
            <w:r>
              <w:rPr>
                <w:rFonts w:hint="eastAsia"/>
                <w:sz w:val="24"/>
                <w:szCs w:val="24"/>
              </w:rPr>
              <w:t>星光老年之家</w:t>
            </w:r>
          </w:p>
        </w:tc>
        <w:tc>
          <w:tcPr>
            <w:tcW w:w="1330" w:type="dxa"/>
            <w:vMerge w:val="continue"/>
            <w:vAlign w:val="center"/>
          </w:tcPr>
          <w:p>
            <w:pPr>
              <w:adjustRightInd w:val="0"/>
              <w:spacing w:line="240" w:lineRule="exact"/>
              <w:jc w:val="center"/>
              <w:rPr>
                <w:sz w:val="24"/>
                <w:szCs w:val="24"/>
              </w:rPr>
            </w:pPr>
          </w:p>
        </w:tc>
        <w:tc>
          <w:tcPr>
            <w:tcW w:w="1417" w:type="dxa"/>
            <w:vMerge w:val="continue"/>
            <w:vAlign w:val="center"/>
          </w:tcPr>
          <w:p>
            <w:pPr>
              <w:adjustRightInd w:val="0"/>
              <w:spacing w:line="240" w:lineRule="exact"/>
              <w:jc w:val="center"/>
              <w:rPr>
                <w:sz w:val="24"/>
                <w:szCs w:val="24"/>
              </w:rPr>
            </w:pPr>
          </w:p>
        </w:tc>
        <w:tc>
          <w:tcPr>
            <w:tcW w:w="1276" w:type="dxa"/>
            <w:vMerge w:val="continue"/>
            <w:vAlign w:val="center"/>
          </w:tcPr>
          <w:p>
            <w:pPr>
              <w:adjustRightInd w:val="0"/>
              <w:spacing w:line="240" w:lineRule="exact"/>
              <w:jc w:val="center"/>
              <w:rPr>
                <w:sz w:val="24"/>
                <w:szCs w:val="24"/>
              </w:rPr>
            </w:pPr>
          </w:p>
        </w:tc>
        <w:tc>
          <w:tcPr>
            <w:tcW w:w="3969" w:type="dxa"/>
            <w:vMerge w:val="continue"/>
            <w:vAlign w:val="center"/>
          </w:tcPr>
          <w:p>
            <w:pPr>
              <w:adjustRightInd w:val="0"/>
              <w:spacing w:line="240" w:lineRule="exact"/>
              <w:rPr>
                <w:sz w:val="24"/>
                <w:szCs w:val="24"/>
              </w:rPr>
            </w:pPr>
          </w:p>
        </w:tc>
        <w:tc>
          <w:tcPr>
            <w:tcW w:w="3260" w:type="dxa"/>
            <w:vMerge w:val="continue"/>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101" w:type="dxa"/>
            <w:vMerge w:val="continue"/>
            <w:vAlign w:val="center"/>
          </w:tcPr>
          <w:p>
            <w:pPr>
              <w:adjustRightInd w:val="0"/>
              <w:spacing w:line="240" w:lineRule="exact"/>
              <w:jc w:val="center"/>
              <w:rPr>
                <w:sz w:val="24"/>
                <w:szCs w:val="24"/>
              </w:rPr>
            </w:pPr>
          </w:p>
        </w:tc>
        <w:tc>
          <w:tcPr>
            <w:tcW w:w="756" w:type="dxa"/>
            <w:vMerge w:val="continue"/>
            <w:vAlign w:val="center"/>
          </w:tcPr>
          <w:p>
            <w:pPr>
              <w:adjustRightInd w:val="0"/>
              <w:spacing w:line="240" w:lineRule="exact"/>
              <w:jc w:val="center"/>
              <w:rPr>
                <w:sz w:val="24"/>
                <w:szCs w:val="24"/>
              </w:rPr>
            </w:pPr>
          </w:p>
        </w:tc>
        <w:tc>
          <w:tcPr>
            <w:tcW w:w="1174" w:type="dxa"/>
            <w:gridSpan w:val="3"/>
            <w:vAlign w:val="center"/>
          </w:tcPr>
          <w:p>
            <w:pPr>
              <w:adjustRightInd w:val="0"/>
              <w:spacing w:line="240" w:lineRule="exact"/>
              <w:jc w:val="center"/>
              <w:rPr>
                <w:rFonts w:hint="eastAsia"/>
                <w:sz w:val="24"/>
                <w:szCs w:val="24"/>
              </w:rPr>
            </w:pPr>
            <w:r>
              <w:rPr>
                <w:rFonts w:hint="eastAsia"/>
                <w:sz w:val="24"/>
                <w:szCs w:val="24"/>
              </w:rPr>
              <w:t>老年</w:t>
            </w:r>
          </w:p>
          <w:p>
            <w:pPr>
              <w:adjustRightInd w:val="0"/>
              <w:spacing w:line="240" w:lineRule="exact"/>
              <w:jc w:val="center"/>
              <w:rPr>
                <w:rFonts w:hint="eastAsia"/>
                <w:sz w:val="24"/>
                <w:szCs w:val="24"/>
              </w:rPr>
            </w:pPr>
            <w:r>
              <w:rPr>
                <w:rFonts w:hint="eastAsia"/>
                <w:sz w:val="24"/>
                <w:szCs w:val="24"/>
              </w:rPr>
              <w:t>大学</w:t>
            </w:r>
          </w:p>
          <w:p>
            <w:pPr>
              <w:adjustRightInd w:val="0"/>
              <w:spacing w:line="240" w:lineRule="exact"/>
              <w:jc w:val="center"/>
              <w:rPr>
                <w:sz w:val="24"/>
                <w:szCs w:val="24"/>
              </w:rPr>
            </w:pPr>
            <w:r>
              <w:rPr>
                <w:rFonts w:hint="eastAsia"/>
                <w:sz w:val="24"/>
                <w:szCs w:val="24"/>
              </w:rPr>
              <w:t>教学点</w:t>
            </w:r>
          </w:p>
        </w:tc>
        <w:tc>
          <w:tcPr>
            <w:tcW w:w="1330" w:type="dxa"/>
            <w:vMerge w:val="continue"/>
            <w:vAlign w:val="center"/>
          </w:tcPr>
          <w:p>
            <w:pPr>
              <w:adjustRightInd w:val="0"/>
              <w:spacing w:line="240" w:lineRule="exact"/>
              <w:jc w:val="center"/>
              <w:rPr>
                <w:sz w:val="24"/>
                <w:szCs w:val="24"/>
              </w:rPr>
            </w:pPr>
          </w:p>
        </w:tc>
        <w:tc>
          <w:tcPr>
            <w:tcW w:w="1417" w:type="dxa"/>
            <w:vMerge w:val="continue"/>
            <w:vAlign w:val="center"/>
          </w:tcPr>
          <w:p>
            <w:pPr>
              <w:adjustRightInd w:val="0"/>
              <w:spacing w:line="240" w:lineRule="exact"/>
              <w:jc w:val="center"/>
              <w:rPr>
                <w:sz w:val="24"/>
                <w:szCs w:val="24"/>
              </w:rPr>
            </w:pPr>
          </w:p>
        </w:tc>
        <w:tc>
          <w:tcPr>
            <w:tcW w:w="1276" w:type="dxa"/>
            <w:vMerge w:val="continue"/>
            <w:vAlign w:val="center"/>
          </w:tcPr>
          <w:p>
            <w:pPr>
              <w:adjustRightInd w:val="0"/>
              <w:spacing w:line="240" w:lineRule="exact"/>
              <w:jc w:val="center"/>
              <w:rPr>
                <w:sz w:val="24"/>
                <w:szCs w:val="24"/>
              </w:rPr>
            </w:pPr>
          </w:p>
        </w:tc>
        <w:tc>
          <w:tcPr>
            <w:tcW w:w="3969" w:type="dxa"/>
            <w:vMerge w:val="continue"/>
            <w:vAlign w:val="center"/>
          </w:tcPr>
          <w:p>
            <w:pPr>
              <w:adjustRightInd w:val="0"/>
              <w:spacing w:line="240" w:lineRule="exact"/>
              <w:rPr>
                <w:sz w:val="24"/>
                <w:szCs w:val="24"/>
              </w:rPr>
            </w:pPr>
          </w:p>
        </w:tc>
        <w:tc>
          <w:tcPr>
            <w:tcW w:w="3260" w:type="dxa"/>
            <w:vMerge w:val="continue"/>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101" w:type="dxa"/>
            <w:vMerge w:val="continue"/>
            <w:vAlign w:val="center"/>
          </w:tcPr>
          <w:p>
            <w:pPr>
              <w:adjustRightInd w:val="0"/>
              <w:spacing w:line="240" w:lineRule="exact"/>
              <w:jc w:val="center"/>
              <w:rPr>
                <w:sz w:val="24"/>
                <w:szCs w:val="24"/>
              </w:rPr>
            </w:pPr>
          </w:p>
        </w:tc>
        <w:tc>
          <w:tcPr>
            <w:tcW w:w="756" w:type="dxa"/>
            <w:vMerge w:val="continue"/>
            <w:vAlign w:val="center"/>
          </w:tcPr>
          <w:p>
            <w:pPr>
              <w:adjustRightInd w:val="0"/>
              <w:spacing w:line="240" w:lineRule="exact"/>
              <w:jc w:val="center"/>
              <w:rPr>
                <w:sz w:val="24"/>
                <w:szCs w:val="24"/>
              </w:rPr>
            </w:pPr>
          </w:p>
        </w:tc>
        <w:tc>
          <w:tcPr>
            <w:tcW w:w="1174" w:type="dxa"/>
            <w:gridSpan w:val="3"/>
            <w:vAlign w:val="center"/>
          </w:tcPr>
          <w:p>
            <w:pPr>
              <w:adjustRightInd w:val="0"/>
              <w:spacing w:line="240" w:lineRule="exact"/>
              <w:jc w:val="center"/>
              <w:rPr>
                <w:rFonts w:hint="eastAsia"/>
                <w:sz w:val="24"/>
                <w:szCs w:val="24"/>
              </w:rPr>
            </w:pPr>
            <w:r>
              <w:rPr>
                <w:rFonts w:hint="eastAsia"/>
                <w:sz w:val="24"/>
                <w:szCs w:val="24"/>
              </w:rPr>
              <w:t>长者</w:t>
            </w:r>
          </w:p>
          <w:p>
            <w:pPr>
              <w:adjustRightInd w:val="0"/>
              <w:spacing w:line="240" w:lineRule="exact"/>
              <w:jc w:val="center"/>
              <w:rPr>
                <w:sz w:val="24"/>
                <w:szCs w:val="24"/>
              </w:rPr>
            </w:pPr>
            <w:r>
              <w:rPr>
                <w:rFonts w:hint="eastAsia"/>
                <w:sz w:val="24"/>
                <w:szCs w:val="24"/>
              </w:rPr>
              <w:t>饭堂</w:t>
            </w:r>
          </w:p>
        </w:tc>
        <w:tc>
          <w:tcPr>
            <w:tcW w:w="1330" w:type="dxa"/>
            <w:vMerge w:val="continue"/>
            <w:vAlign w:val="center"/>
          </w:tcPr>
          <w:p>
            <w:pPr>
              <w:adjustRightInd w:val="0"/>
              <w:spacing w:line="240" w:lineRule="exact"/>
              <w:jc w:val="center"/>
              <w:rPr>
                <w:sz w:val="24"/>
                <w:szCs w:val="24"/>
              </w:rPr>
            </w:pPr>
          </w:p>
        </w:tc>
        <w:tc>
          <w:tcPr>
            <w:tcW w:w="1417" w:type="dxa"/>
            <w:vMerge w:val="continue"/>
            <w:vAlign w:val="center"/>
          </w:tcPr>
          <w:p>
            <w:pPr>
              <w:adjustRightInd w:val="0"/>
              <w:spacing w:line="240" w:lineRule="exact"/>
              <w:jc w:val="center"/>
              <w:rPr>
                <w:sz w:val="24"/>
                <w:szCs w:val="24"/>
              </w:rPr>
            </w:pPr>
          </w:p>
        </w:tc>
        <w:tc>
          <w:tcPr>
            <w:tcW w:w="1276" w:type="dxa"/>
            <w:vMerge w:val="continue"/>
            <w:vAlign w:val="center"/>
          </w:tcPr>
          <w:p>
            <w:pPr>
              <w:adjustRightInd w:val="0"/>
              <w:spacing w:line="240" w:lineRule="exact"/>
              <w:jc w:val="center"/>
              <w:rPr>
                <w:sz w:val="24"/>
                <w:szCs w:val="24"/>
              </w:rPr>
            </w:pPr>
          </w:p>
        </w:tc>
        <w:tc>
          <w:tcPr>
            <w:tcW w:w="3969" w:type="dxa"/>
            <w:vMerge w:val="continue"/>
            <w:vAlign w:val="center"/>
          </w:tcPr>
          <w:p>
            <w:pPr>
              <w:adjustRightInd w:val="0"/>
              <w:spacing w:line="240" w:lineRule="exact"/>
              <w:rPr>
                <w:sz w:val="24"/>
                <w:szCs w:val="24"/>
              </w:rPr>
            </w:pPr>
          </w:p>
        </w:tc>
        <w:tc>
          <w:tcPr>
            <w:tcW w:w="3260" w:type="dxa"/>
            <w:vMerge w:val="continue"/>
          </w:tcPr>
          <w:p>
            <w:pPr>
              <w:adjustRightIn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0" w:hRule="atLeast"/>
        </w:trPr>
        <w:tc>
          <w:tcPr>
            <w:tcW w:w="1101" w:type="dxa"/>
            <w:vAlign w:val="center"/>
          </w:tcPr>
          <w:p>
            <w:pPr>
              <w:adjustRightInd w:val="0"/>
              <w:spacing w:line="240" w:lineRule="exact"/>
              <w:jc w:val="center"/>
              <w:rPr>
                <w:sz w:val="24"/>
                <w:szCs w:val="24"/>
              </w:rPr>
            </w:pPr>
            <w:r>
              <w:rPr>
                <w:sz w:val="24"/>
                <w:szCs w:val="24"/>
              </w:rPr>
              <w:t>福利</w:t>
            </w:r>
          </w:p>
          <w:p>
            <w:pPr>
              <w:adjustRightInd w:val="0"/>
              <w:spacing w:line="240" w:lineRule="exact"/>
              <w:jc w:val="center"/>
              <w:rPr>
                <w:sz w:val="24"/>
                <w:szCs w:val="24"/>
              </w:rPr>
            </w:pPr>
            <w:r>
              <w:rPr>
                <w:sz w:val="24"/>
                <w:szCs w:val="24"/>
              </w:rPr>
              <w:t>设施</w:t>
            </w:r>
          </w:p>
        </w:tc>
        <w:tc>
          <w:tcPr>
            <w:tcW w:w="1930" w:type="dxa"/>
            <w:gridSpan w:val="4"/>
            <w:vAlign w:val="center"/>
          </w:tcPr>
          <w:p>
            <w:pPr>
              <w:adjustRightInd w:val="0"/>
              <w:spacing w:line="240" w:lineRule="exact"/>
              <w:jc w:val="center"/>
              <w:rPr>
                <w:sz w:val="24"/>
                <w:szCs w:val="24"/>
              </w:rPr>
            </w:pPr>
            <w:r>
              <w:rPr>
                <w:rFonts w:hint="eastAsia"/>
                <w:sz w:val="24"/>
                <w:szCs w:val="24"/>
              </w:rPr>
              <w:t>托育机构</w:t>
            </w:r>
          </w:p>
        </w:tc>
        <w:tc>
          <w:tcPr>
            <w:tcW w:w="1330" w:type="dxa"/>
            <w:vAlign w:val="center"/>
          </w:tcPr>
          <w:p>
            <w:pPr>
              <w:spacing w:line="240" w:lineRule="exact"/>
              <w:jc w:val="center"/>
              <w:rPr>
                <w:sz w:val="24"/>
                <w:szCs w:val="24"/>
              </w:rPr>
            </w:pPr>
            <w:r>
              <w:rPr>
                <w:sz w:val="24"/>
                <w:szCs w:val="24"/>
              </w:rPr>
              <w:t>1200</w:t>
            </w:r>
          </w:p>
        </w:tc>
        <w:tc>
          <w:tcPr>
            <w:tcW w:w="1417" w:type="dxa"/>
            <w:vAlign w:val="center"/>
          </w:tcPr>
          <w:p>
            <w:pPr>
              <w:adjustRightInd w:val="0"/>
              <w:spacing w:line="240" w:lineRule="exact"/>
              <w:jc w:val="center"/>
              <w:rPr>
                <w:sz w:val="24"/>
                <w:szCs w:val="24"/>
              </w:rPr>
            </w:pPr>
            <w:r>
              <w:rPr>
                <w:sz w:val="24"/>
                <w:szCs w:val="24"/>
              </w:rPr>
              <w:t>600-800</w:t>
            </w:r>
          </w:p>
        </w:tc>
        <w:tc>
          <w:tcPr>
            <w:tcW w:w="1276" w:type="dxa"/>
            <w:vAlign w:val="center"/>
          </w:tcPr>
          <w:p>
            <w:pPr>
              <w:adjustRightInd w:val="0"/>
              <w:spacing w:line="240" w:lineRule="exact"/>
              <w:jc w:val="center"/>
              <w:rPr>
                <w:sz w:val="24"/>
                <w:szCs w:val="24"/>
              </w:rPr>
            </w:pPr>
            <w:r>
              <w:rPr>
                <w:sz w:val="24"/>
                <w:szCs w:val="24"/>
              </w:rPr>
              <w:t>1-1.5</w:t>
            </w:r>
          </w:p>
        </w:tc>
        <w:tc>
          <w:tcPr>
            <w:tcW w:w="3969" w:type="dxa"/>
            <w:vAlign w:val="center"/>
          </w:tcPr>
          <w:p>
            <w:pPr>
              <w:adjustRightInd w:val="0"/>
              <w:spacing w:line="240" w:lineRule="exact"/>
              <w:rPr>
                <w:sz w:val="24"/>
                <w:szCs w:val="24"/>
              </w:rPr>
            </w:pPr>
            <w:r>
              <w:rPr>
                <w:rFonts w:hint="eastAsia"/>
                <w:sz w:val="24"/>
                <w:szCs w:val="24"/>
              </w:rPr>
              <w:t>应建设在日照充足、交通方便、场地平整、干燥、排水通畅、环境优美、基础设施完善的地段；不应设于易发生自然地质灾害的地段；与易发生危险的建筑物、仓库、储罐、可燃物品和材料堆场等之间的距离应符合国家现行有关标准的规定；不应与大型公共娱乐场所、商场、批发市场等人流密集的场所相毗邻；应远离各种污染源，并应符合国家现行有关卫生、防护标准的要求；园内不应有高压输电线、燃气、输油管道主干道等穿过。</w:t>
            </w:r>
          </w:p>
          <w:p>
            <w:pPr>
              <w:adjustRightInd w:val="0"/>
              <w:spacing w:line="240" w:lineRule="exact"/>
              <w:rPr>
                <w:sz w:val="24"/>
                <w:szCs w:val="24"/>
              </w:rPr>
            </w:pPr>
            <w:r>
              <w:rPr>
                <w:rFonts w:hint="eastAsia"/>
                <w:sz w:val="24"/>
                <w:szCs w:val="24"/>
              </w:rPr>
              <w:t>四个班及以上的托育机构建筑应独立设置。三个班及以下时，可与居住、养老、教育、办公建筑合建，但应符合下列规定：（</w:t>
            </w:r>
            <w:r>
              <w:rPr>
                <w:sz w:val="24"/>
                <w:szCs w:val="24"/>
              </w:rPr>
              <w:t>1）合建的既有建筑应经有关部门验收合格，符合抗震、防火等安全方面的规定；（2）应设独立的疏散楼梯和安全出口；（3）出入口处应设置人员安全集散和车辆停靠的空间；（4）应设独立的室外活动场地，场地周围应采取隔离措施；（5）建筑出入口及室外活动场地范围内应采取防止物体坠落措施。室外活动场地人均面积不应小于3</w:t>
            </w:r>
            <w:r>
              <w:rPr>
                <w:rFonts w:hint="eastAsia"/>
                <w:sz w:val="24"/>
                <w:szCs w:val="24"/>
              </w:rPr>
              <w:t>平方米。</w:t>
            </w:r>
          </w:p>
        </w:tc>
        <w:tc>
          <w:tcPr>
            <w:tcW w:w="3260" w:type="dxa"/>
            <w:vAlign w:val="center"/>
          </w:tcPr>
          <w:p>
            <w:pPr>
              <w:adjustRightInd w:val="0"/>
              <w:spacing w:line="240" w:lineRule="exact"/>
              <w:rPr>
                <w:sz w:val="24"/>
                <w:szCs w:val="24"/>
              </w:rPr>
            </w:pPr>
            <w:r>
              <w:rPr>
                <w:sz w:val="24"/>
                <w:szCs w:val="24"/>
              </w:rPr>
              <w:t>1.</w:t>
            </w:r>
            <w:r>
              <w:rPr>
                <w:rFonts w:hint="eastAsia"/>
                <w:sz w:val="24"/>
                <w:szCs w:val="24"/>
              </w:rPr>
              <w:t>《</w:t>
            </w:r>
            <w:r>
              <w:rPr>
                <w:sz w:val="24"/>
                <w:szCs w:val="24"/>
              </w:rPr>
              <w:t>国家卫生健康委关于印发托育机构设置标准（试行）和托育机构管理规范（试行）的通知</w:t>
            </w:r>
            <w:r>
              <w:rPr>
                <w:rFonts w:hint="eastAsia"/>
                <w:sz w:val="24"/>
                <w:szCs w:val="24"/>
              </w:rPr>
              <w:t>》</w:t>
            </w:r>
            <w:r>
              <w:rPr>
                <w:sz w:val="24"/>
                <w:szCs w:val="24"/>
              </w:rPr>
              <w:t>（国卫人口发〔2019〕58号）</w:t>
            </w:r>
          </w:p>
          <w:p>
            <w:pPr>
              <w:adjustRightInd w:val="0"/>
              <w:spacing w:line="240" w:lineRule="exact"/>
              <w:rPr>
                <w:sz w:val="24"/>
                <w:szCs w:val="24"/>
              </w:rPr>
            </w:pPr>
            <w:r>
              <w:rPr>
                <w:sz w:val="24"/>
                <w:szCs w:val="24"/>
              </w:rPr>
              <w:t>2.</w:t>
            </w:r>
            <w:r>
              <w:rPr>
                <w:rFonts w:hint="eastAsia"/>
                <w:sz w:val="24"/>
                <w:szCs w:val="24"/>
              </w:rPr>
              <w:t>《</w:t>
            </w:r>
            <w:r>
              <w:rPr>
                <w:sz w:val="24"/>
                <w:szCs w:val="24"/>
              </w:rPr>
              <w:t>托儿所、幼儿园建筑设计规范（2019年版）</w:t>
            </w:r>
            <w:r>
              <w:rPr>
                <w:rFonts w:hint="eastAsia"/>
                <w:sz w:val="24"/>
                <w:szCs w:val="24"/>
              </w:rPr>
              <w:t>》（JGJ 39-2016）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101" w:type="dxa"/>
            <w:vAlign w:val="center"/>
          </w:tcPr>
          <w:p>
            <w:pPr>
              <w:adjustRightInd w:val="0"/>
              <w:spacing w:line="240" w:lineRule="exact"/>
              <w:jc w:val="center"/>
              <w:rPr>
                <w:sz w:val="24"/>
                <w:szCs w:val="24"/>
              </w:rPr>
            </w:pPr>
            <w:r>
              <w:rPr>
                <w:rFonts w:hint="eastAsia"/>
                <w:sz w:val="24"/>
                <w:szCs w:val="24"/>
              </w:rPr>
              <w:t>市政公用设施</w:t>
            </w:r>
          </w:p>
        </w:tc>
        <w:tc>
          <w:tcPr>
            <w:tcW w:w="1930" w:type="dxa"/>
            <w:gridSpan w:val="4"/>
            <w:vAlign w:val="center"/>
          </w:tcPr>
          <w:p>
            <w:pPr>
              <w:adjustRightInd w:val="0"/>
              <w:spacing w:line="240" w:lineRule="exact"/>
              <w:jc w:val="center"/>
              <w:rPr>
                <w:sz w:val="24"/>
                <w:szCs w:val="24"/>
              </w:rPr>
            </w:pPr>
            <w:r>
              <w:rPr>
                <w:rFonts w:hint="eastAsia" w:ascii="仿宋_GB2312"/>
                <w:kern w:val="0"/>
                <w:sz w:val="24"/>
                <w:szCs w:val="24"/>
              </w:rPr>
              <w:t>可回收物</w:t>
            </w:r>
            <w:r>
              <w:rPr>
                <w:rFonts w:ascii="仿宋_GB2312"/>
                <w:kern w:val="0"/>
                <w:sz w:val="24"/>
                <w:szCs w:val="24"/>
              </w:rPr>
              <w:t>便民</w:t>
            </w:r>
            <w:r>
              <w:rPr>
                <w:rFonts w:hint="eastAsia" w:ascii="仿宋_GB2312"/>
                <w:kern w:val="0"/>
                <w:sz w:val="24"/>
                <w:szCs w:val="24"/>
              </w:rPr>
              <w:t>回收</w:t>
            </w:r>
            <w:r>
              <w:rPr>
                <w:rFonts w:ascii="仿宋_GB2312"/>
                <w:kern w:val="0"/>
                <w:sz w:val="24"/>
                <w:szCs w:val="24"/>
              </w:rPr>
              <w:t>点</w:t>
            </w:r>
          </w:p>
        </w:tc>
        <w:tc>
          <w:tcPr>
            <w:tcW w:w="1330" w:type="dxa"/>
            <w:vAlign w:val="center"/>
          </w:tcPr>
          <w:p>
            <w:pPr>
              <w:adjustRightInd w:val="0"/>
              <w:spacing w:line="240" w:lineRule="exact"/>
              <w:jc w:val="center"/>
              <w:rPr>
                <w:sz w:val="24"/>
                <w:szCs w:val="24"/>
              </w:rPr>
            </w:pPr>
            <w:r>
              <w:rPr>
                <w:rFonts w:hint="eastAsia"/>
                <w:sz w:val="24"/>
                <w:szCs w:val="24"/>
              </w:rPr>
              <w:t>≥3</w:t>
            </w:r>
            <w:r>
              <w:rPr>
                <w:sz w:val="24"/>
                <w:szCs w:val="24"/>
              </w:rPr>
              <w:t>0</w:t>
            </w:r>
          </w:p>
        </w:tc>
        <w:tc>
          <w:tcPr>
            <w:tcW w:w="1417" w:type="dxa"/>
            <w:vAlign w:val="center"/>
          </w:tcPr>
          <w:p>
            <w:pPr>
              <w:adjustRightInd w:val="0"/>
              <w:spacing w:line="240" w:lineRule="exact"/>
              <w:jc w:val="center"/>
              <w:rPr>
                <w:sz w:val="24"/>
                <w:szCs w:val="24"/>
              </w:rPr>
            </w:pPr>
            <w:r>
              <w:rPr>
                <w:rFonts w:hint="eastAsia"/>
                <w:sz w:val="24"/>
                <w:szCs w:val="24"/>
              </w:rPr>
              <w:t>≥3</w:t>
            </w:r>
            <w:r>
              <w:rPr>
                <w:sz w:val="24"/>
                <w:szCs w:val="24"/>
              </w:rPr>
              <w:t>0</w:t>
            </w:r>
          </w:p>
        </w:tc>
        <w:tc>
          <w:tcPr>
            <w:tcW w:w="1276" w:type="dxa"/>
            <w:vAlign w:val="center"/>
          </w:tcPr>
          <w:p>
            <w:pPr>
              <w:adjustRightInd w:val="0"/>
              <w:spacing w:line="240" w:lineRule="exact"/>
              <w:rPr>
                <w:sz w:val="24"/>
                <w:szCs w:val="24"/>
              </w:rPr>
            </w:pPr>
          </w:p>
        </w:tc>
        <w:tc>
          <w:tcPr>
            <w:tcW w:w="3969" w:type="dxa"/>
            <w:vAlign w:val="center"/>
          </w:tcPr>
          <w:p>
            <w:pPr>
              <w:adjustRightInd w:val="0"/>
              <w:spacing w:line="240" w:lineRule="exact"/>
              <w:rPr>
                <w:sz w:val="24"/>
                <w:szCs w:val="24"/>
              </w:rPr>
            </w:pPr>
          </w:p>
        </w:tc>
        <w:tc>
          <w:tcPr>
            <w:tcW w:w="3260" w:type="dxa"/>
            <w:vAlign w:val="center"/>
          </w:tcPr>
          <w:p>
            <w:pPr>
              <w:adjustRightInd w:val="0"/>
              <w:spacing w:line="240" w:lineRule="exact"/>
              <w:rPr>
                <w:sz w:val="24"/>
                <w:szCs w:val="24"/>
              </w:rPr>
            </w:pPr>
            <w:r>
              <w:rPr>
                <w:rFonts w:hint="eastAsia"/>
                <w:sz w:val="24"/>
                <w:szCs w:val="24"/>
              </w:rPr>
              <w:t>《</w:t>
            </w:r>
            <w:r>
              <w:rPr>
                <w:sz w:val="24"/>
                <w:szCs w:val="24"/>
              </w:rPr>
              <w:t>再生资源回收站点建设管理规范</w:t>
            </w:r>
            <w:r>
              <w:rPr>
                <w:rFonts w:hint="eastAsia"/>
                <w:sz w:val="24"/>
                <w:szCs w:val="24"/>
              </w:rPr>
              <w:t>》</w:t>
            </w:r>
            <w:r>
              <w:rPr>
                <w:sz w:val="24"/>
                <w:szCs w:val="24"/>
              </w:rPr>
              <w:t>（SB/T 10719-2012）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trPr>
        <w:tc>
          <w:tcPr>
            <w:tcW w:w="1101" w:type="dxa"/>
            <w:vMerge w:val="restart"/>
            <w:vAlign w:val="center"/>
          </w:tcPr>
          <w:p>
            <w:pPr>
              <w:adjustRightInd w:val="0"/>
              <w:spacing w:line="240" w:lineRule="exact"/>
              <w:jc w:val="center"/>
              <w:rPr>
                <w:sz w:val="24"/>
                <w:szCs w:val="24"/>
              </w:rPr>
            </w:pPr>
            <w:r>
              <w:rPr>
                <w:rFonts w:hint="eastAsia"/>
                <w:sz w:val="24"/>
                <w:szCs w:val="24"/>
              </w:rPr>
              <w:t>商业服务设施</w:t>
            </w:r>
          </w:p>
        </w:tc>
        <w:tc>
          <w:tcPr>
            <w:tcW w:w="1068" w:type="dxa"/>
            <w:gridSpan w:val="3"/>
            <w:vMerge w:val="restart"/>
            <w:vAlign w:val="center"/>
          </w:tcPr>
          <w:p>
            <w:pPr>
              <w:adjustRightInd w:val="0"/>
              <w:spacing w:line="240" w:lineRule="exact"/>
              <w:jc w:val="center"/>
              <w:rPr>
                <w:sz w:val="24"/>
                <w:szCs w:val="24"/>
              </w:rPr>
            </w:pPr>
            <w:r>
              <w:rPr>
                <w:rFonts w:hint="eastAsia"/>
                <w:sz w:val="24"/>
                <w:szCs w:val="24"/>
              </w:rPr>
              <w:t>快递送达设施</w:t>
            </w:r>
          </w:p>
          <w:p>
            <w:pPr>
              <w:adjustRightInd w:val="0"/>
              <w:spacing w:line="240" w:lineRule="exact"/>
              <w:jc w:val="center"/>
              <w:rPr>
                <w:sz w:val="24"/>
                <w:szCs w:val="24"/>
              </w:rPr>
            </w:pPr>
            <w:r>
              <w:rPr>
                <w:rFonts w:hint="eastAsia"/>
                <w:sz w:val="24"/>
                <w:szCs w:val="24"/>
              </w:rPr>
              <w:t>（智能快件箱、快递快餐收发点）</w:t>
            </w:r>
          </w:p>
        </w:tc>
        <w:tc>
          <w:tcPr>
            <w:tcW w:w="862" w:type="dxa"/>
            <w:vAlign w:val="center"/>
          </w:tcPr>
          <w:p>
            <w:pPr>
              <w:adjustRightInd w:val="0"/>
              <w:spacing w:line="240" w:lineRule="exact"/>
              <w:jc w:val="center"/>
              <w:rPr>
                <w:sz w:val="24"/>
                <w:szCs w:val="24"/>
              </w:rPr>
            </w:pPr>
            <w:r>
              <w:rPr>
                <w:rFonts w:hint="eastAsia"/>
                <w:sz w:val="24"/>
                <w:szCs w:val="24"/>
              </w:rPr>
              <w:t>基本型营业场所</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≥1</w:t>
            </w:r>
            <w:r>
              <w:rPr>
                <w:sz w:val="24"/>
                <w:szCs w:val="24"/>
              </w:rPr>
              <w:t>5</w:t>
            </w: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仅满足业务接待和快件暂存基本功能要求的快递营业场所。营业场所的面积应与快递业务量大小相适应。宜设于建筑首层，布局在人流集中的地方，方便社区居民收取快递。</w:t>
            </w:r>
          </w:p>
        </w:tc>
        <w:tc>
          <w:tcPr>
            <w:tcW w:w="3260" w:type="dxa"/>
            <w:vMerge w:val="restart"/>
            <w:vAlign w:val="center"/>
          </w:tcPr>
          <w:p>
            <w:pPr>
              <w:adjustRightInd w:val="0"/>
              <w:spacing w:line="240" w:lineRule="exact"/>
              <w:rPr>
                <w:sz w:val="24"/>
                <w:szCs w:val="24"/>
              </w:rPr>
            </w:pPr>
            <w:r>
              <w:rPr>
                <w:rFonts w:hint="eastAsia"/>
                <w:sz w:val="24"/>
                <w:szCs w:val="24"/>
              </w:rPr>
              <w:t>《中华人民共和国邮政行业标准快递营业场所设计基本要求》（YZ/T 0137-2015）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1101" w:type="dxa"/>
            <w:vMerge w:val="continue"/>
            <w:vAlign w:val="center"/>
          </w:tcPr>
          <w:p>
            <w:pPr>
              <w:adjustRightInd w:val="0"/>
              <w:spacing w:line="240" w:lineRule="exact"/>
              <w:jc w:val="center"/>
              <w:rPr>
                <w:sz w:val="24"/>
                <w:szCs w:val="24"/>
              </w:rPr>
            </w:pPr>
          </w:p>
        </w:tc>
        <w:tc>
          <w:tcPr>
            <w:tcW w:w="1068" w:type="dxa"/>
            <w:gridSpan w:val="3"/>
            <w:vMerge w:val="continue"/>
            <w:vAlign w:val="center"/>
          </w:tcPr>
          <w:p>
            <w:pPr>
              <w:adjustRightInd w:val="0"/>
              <w:spacing w:line="240" w:lineRule="exact"/>
              <w:jc w:val="center"/>
              <w:rPr>
                <w:sz w:val="24"/>
                <w:szCs w:val="24"/>
              </w:rPr>
            </w:pPr>
          </w:p>
        </w:tc>
        <w:tc>
          <w:tcPr>
            <w:tcW w:w="862" w:type="dxa"/>
            <w:vAlign w:val="center"/>
          </w:tcPr>
          <w:p>
            <w:pPr>
              <w:adjustRightInd w:val="0"/>
              <w:spacing w:line="240" w:lineRule="exact"/>
              <w:jc w:val="center"/>
              <w:rPr>
                <w:sz w:val="24"/>
                <w:szCs w:val="24"/>
              </w:rPr>
            </w:pPr>
            <w:r>
              <w:rPr>
                <w:rFonts w:hint="eastAsia"/>
                <w:sz w:val="24"/>
                <w:szCs w:val="24"/>
              </w:rPr>
              <w:t>拓展型营业场所</w:t>
            </w:r>
          </w:p>
        </w:tc>
        <w:tc>
          <w:tcPr>
            <w:tcW w:w="1330" w:type="dxa"/>
            <w:vAlign w:val="center"/>
          </w:tcPr>
          <w:p>
            <w:pPr>
              <w:adjustRightInd w:val="0"/>
              <w:spacing w:line="240" w:lineRule="exact"/>
              <w:jc w:val="center"/>
              <w:rPr>
                <w:sz w:val="24"/>
                <w:szCs w:val="24"/>
              </w:rPr>
            </w:pPr>
          </w:p>
        </w:tc>
        <w:tc>
          <w:tcPr>
            <w:tcW w:w="1417" w:type="dxa"/>
            <w:vAlign w:val="center"/>
          </w:tcPr>
          <w:p>
            <w:pPr>
              <w:adjustRightInd w:val="0"/>
              <w:spacing w:line="240" w:lineRule="exact"/>
              <w:jc w:val="center"/>
              <w:rPr>
                <w:sz w:val="24"/>
                <w:szCs w:val="24"/>
              </w:rPr>
            </w:pPr>
            <w:r>
              <w:rPr>
                <w:rFonts w:hint="eastAsia"/>
                <w:sz w:val="24"/>
                <w:szCs w:val="24"/>
              </w:rPr>
              <w:t>≥3</w:t>
            </w:r>
            <w:r>
              <w:rPr>
                <w:sz w:val="24"/>
                <w:szCs w:val="24"/>
              </w:rPr>
              <w:t>0</w:t>
            </w:r>
          </w:p>
        </w:tc>
        <w:tc>
          <w:tcPr>
            <w:tcW w:w="1276" w:type="dxa"/>
            <w:vAlign w:val="center"/>
          </w:tcPr>
          <w:p>
            <w:pPr>
              <w:adjustRightInd w:val="0"/>
              <w:spacing w:line="240" w:lineRule="exact"/>
              <w:jc w:val="center"/>
              <w:rPr>
                <w:sz w:val="24"/>
                <w:szCs w:val="24"/>
              </w:rPr>
            </w:pPr>
          </w:p>
        </w:tc>
        <w:tc>
          <w:tcPr>
            <w:tcW w:w="3969" w:type="dxa"/>
            <w:vAlign w:val="center"/>
          </w:tcPr>
          <w:p>
            <w:pPr>
              <w:adjustRightInd w:val="0"/>
              <w:spacing w:line="240" w:lineRule="exact"/>
              <w:rPr>
                <w:sz w:val="24"/>
                <w:szCs w:val="24"/>
              </w:rPr>
            </w:pPr>
            <w:r>
              <w:rPr>
                <w:rFonts w:hint="eastAsia"/>
                <w:sz w:val="24"/>
                <w:szCs w:val="24"/>
              </w:rPr>
              <w:t>除满足业务接待和快件暂存基本功能外，还可满足业务操作、停车及装卸、充电等其他功能要求的快递营业场所。营业场所的面积应与快递业务量大小相适应。宜设于建筑首层，布局在人流集中的地方，方便社区居民收取快递。</w:t>
            </w:r>
          </w:p>
        </w:tc>
        <w:tc>
          <w:tcPr>
            <w:tcW w:w="3260" w:type="dxa"/>
            <w:vMerge w:val="continue"/>
            <w:vAlign w:val="center"/>
          </w:tcPr>
          <w:p>
            <w:pPr>
              <w:adjustRightInd w:val="0"/>
              <w:spacing w:line="240" w:lineRule="exact"/>
              <w:rPr>
                <w:sz w:val="24"/>
                <w:szCs w:val="24"/>
              </w:rPr>
            </w:pPr>
          </w:p>
        </w:tc>
      </w:tr>
    </w:tbl>
    <w:p>
      <w:pPr>
        <w:adjustRightInd w:val="0"/>
        <w:snapToGrid w:val="0"/>
        <w:jc w:val="center"/>
        <w:rPr>
          <w:rFonts w:ascii="仿宋_GB2312" w:hAnsi="仿宋_GB2312" w:cs="仿宋_GB2312"/>
          <w:szCs w:val="32"/>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p>
    <w:p>
      <w:pPr>
        <w:adjustRightInd w:val="0"/>
        <w:snapToGrid w:val="0"/>
        <w:jc w:val="lef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附表5</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产业（商业商务服务业）片区的公共服务设施内容与规模标准</w:t>
      </w:r>
    </w:p>
    <w:tbl>
      <w:tblPr>
        <w:tblStyle w:val="7"/>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3309"/>
        <w:gridCol w:w="309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blHeader/>
        </w:trPr>
        <w:tc>
          <w:tcPr>
            <w:tcW w:w="4503" w:type="dxa"/>
            <w:gridSpan w:val="2"/>
            <w:vAlign w:val="center"/>
          </w:tcPr>
          <w:p>
            <w:pPr>
              <w:adjustRightInd w:val="0"/>
              <w:snapToGrid w:val="0"/>
              <w:spacing w:line="240" w:lineRule="exact"/>
              <w:jc w:val="center"/>
              <w:rPr>
                <w:b/>
                <w:bCs/>
                <w:sz w:val="24"/>
                <w:szCs w:val="24"/>
              </w:rPr>
            </w:pPr>
            <w:r>
              <w:rPr>
                <w:rFonts w:hint="eastAsia"/>
                <w:b/>
                <w:bCs/>
                <w:sz w:val="24"/>
                <w:szCs w:val="24"/>
              </w:rPr>
              <w:t>类别</w:t>
            </w:r>
          </w:p>
        </w:tc>
        <w:tc>
          <w:tcPr>
            <w:tcW w:w="3309" w:type="dxa"/>
            <w:vMerge w:val="restart"/>
            <w:vAlign w:val="center"/>
          </w:tcPr>
          <w:p>
            <w:pPr>
              <w:adjustRightInd w:val="0"/>
              <w:snapToGrid w:val="0"/>
              <w:spacing w:line="240" w:lineRule="exact"/>
              <w:jc w:val="center"/>
              <w:rPr>
                <w:b/>
                <w:bCs/>
                <w:sz w:val="24"/>
                <w:szCs w:val="24"/>
              </w:rPr>
            </w:pPr>
            <w:r>
              <w:rPr>
                <w:rFonts w:hint="eastAsia"/>
                <w:b/>
                <w:bCs/>
                <w:sz w:val="24"/>
                <w:szCs w:val="24"/>
              </w:rPr>
              <w:t>建筑面积</w:t>
            </w:r>
            <w:r>
              <w:rPr>
                <w:b/>
                <w:kern w:val="0"/>
                <w:sz w:val="24"/>
                <w:szCs w:val="24"/>
              </w:rPr>
              <w:t>（</w:t>
            </w:r>
            <w:r>
              <w:rPr>
                <w:rFonts w:hint="eastAsia"/>
                <w:b/>
                <w:kern w:val="0"/>
                <w:sz w:val="24"/>
                <w:szCs w:val="24"/>
              </w:rPr>
              <w:t>平方米</w:t>
            </w:r>
            <w:r>
              <w:rPr>
                <w:b/>
                <w:kern w:val="0"/>
                <w:sz w:val="24"/>
                <w:szCs w:val="24"/>
              </w:rPr>
              <w:t>）</w:t>
            </w:r>
          </w:p>
        </w:tc>
        <w:tc>
          <w:tcPr>
            <w:tcW w:w="3098" w:type="dxa"/>
            <w:vMerge w:val="restart"/>
            <w:vAlign w:val="center"/>
          </w:tcPr>
          <w:p>
            <w:pPr>
              <w:adjustRightInd w:val="0"/>
              <w:snapToGrid w:val="0"/>
              <w:spacing w:line="240" w:lineRule="exact"/>
              <w:jc w:val="center"/>
              <w:rPr>
                <w:b/>
                <w:bCs/>
                <w:sz w:val="24"/>
                <w:szCs w:val="24"/>
              </w:rPr>
            </w:pPr>
            <w:r>
              <w:rPr>
                <w:rFonts w:hint="eastAsia"/>
                <w:b/>
                <w:bCs/>
                <w:sz w:val="24"/>
                <w:szCs w:val="24"/>
              </w:rPr>
              <w:t>规划设置要求</w:t>
            </w:r>
          </w:p>
        </w:tc>
        <w:tc>
          <w:tcPr>
            <w:tcW w:w="2977" w:type="dxa"/>
            <w:vMerge w:val="restart"/>
            <w:vAlign w:val="center"/>
          </w:tcPr>
          <w:p>
            <w:pPr>
              <w:adjustRightInd w:val="0"/>
              <w:snapToGrid w:val="0"/>
              <w:spacing w:line="240" w:lineRule="exact"/>
              <w:jc w:val="center"/>
              <w:rPr>
                <w:b/>
                <w:bCs/>
                <w:sz w:val="24"/>
                <w:szCs w:val="24"/>
              </w:rPr>
            </w:pPr>
            <w:r>
              <w:rPr>
                <w:rFonts w:hint="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blHeader/>
        </w:trPr>
        <w:tc>
          <w:tcPr>
            <w:tcW w:w="1526" w:type="dxa"/>
            <w:vAlign w:val="center"/>
          </w:tcPr>
          <w:p>
            <w:pPr>
              <w:adjustRightInd w:val="0"/>
              <w:snapToGrid w:val="0"/>
              <w:spacing w:line="240" w:lineRule="exact"/>
              <w:jc w:val="center"/>
              <w:rPr>
                <w:b/>
                <w:bCs/>
                <w:sz w:val="24"/>
                <w:szCs w:val="24"/>
              </w:rPr>
            </w:pPr>
            <w:r>
              <w:rPr>
                <w:rFonts w:hint="eastAsia"/>
                <w:b/>
                <w:bCs/>
                <w:sz w:val="24"/>
                <w:szCs w:val="24"/>
              </w:rPr>
              <w:t>设施类别</w:t>
            </w:r>
          </w:p>
        </w:tc>
        <w:tc>
          <w:tcPr>
            <w:tcW w:w="2977" w:type="dxa"/>
            <w:vAlign w:val="center"/>
          </w:tcPr>
          <w:p>
            <w:pPr>
              <w:adjustRightInd w:val="0"/>
              <w:snapToGrid w:val="0"/>
              <w:spacing w:line="240" w:lineRule="exact"/>
              <w:jc w:val="center"/>
              <w:rPr>
                <w:b/>
                <w:bCs/>
                <w:sz w:val="24"/>
                <w:szCs w:val="24"/>
              </w:rPr>
            </w:pPr>
            <w:r>
              <w:rPr>
                <w:rFonts w:hint="eastAsia"/>
                <w:b/>
                <w:bCs/>
                <w:sz w:val="24"/>
                <w:szCs w:val="24"/>
              </w:rPr>
              <w:t>设置项目</w:t>
            </w:r>
          </w:p>
        </w:tc>
        <w:tc>
          <w:tcPr>
            <w:tcW w:w="3309" w:type="dxa"/>
            <w:vMerge w:val="continue"/>
            <w:vAlign w:val="center"/>
          </w:tcPr>
          <w:p>
            <w:pPr>
              <w:adjustRightInd w:val="0"/>
              <w:snapToGrid w:val="0"/>
              <w:spacing w:line="240" w:lineRule="exact"/>
              <w:jc w:val="center"/>
              <w:rPr>
                <w:b/>
                <w:bCs/>
                <w:sz w:val="24"/>
                <w:szCs w:val="24"/>
              </w:rPr>
            </w:pPr>
          </w:p>
        </w:tc>
        <w:tc>
          <w:tcPr>
            <w:tcW w:w="3098" w:type="dxa"/>
            <w:vMerge w:val="continue"/>
          </w:tcPr>
          <w:p>
            <w:pPr>
              <w:adjustRightInd w:val="0"/>
              <w:snapToGrid w:val="0"/>
              <w:spacing w:line="240" w:lineRule="exact"/>
              <w:jc w:val="center"/>
              <w:rPr>
                <w:b/>
                <w:bCs/>
                <w:sz w:val="24"/>
                <w:szCs w:val="24"/>
              </w:rPr>
            </w:pPr>
          </w:p>
        </w:tc>
        <w:tc>
          <w:tcPr>
            <w:tcW w:w="2977" w:type="dxa"/>
            <w:vMerge w:val="continue"/>
          </w:tcPr>
          <w:p>
            <w:pPr>
              <w:adjustRightInd w:val="0"/>
              <w:snapToGrid w:val="0"/>
              <w:spacing w:line="24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526" w:type="dxa"/>
            <w:vMerge w:val="restart"/>
            <w:vAlign w:val="center"/>
          </w:tcPr>
          <w:p>
            <w:pPr>
              <w:adjustRightInd w:val="0"/>
              <w:snapToGrid w:val="0"/>
              <w:spacing w:line="240" w:lineRule="exact"/>
              <w:jc w:val="center"/>
              <w:rPr>
                <w:sz w:val="24"/>
                <w:szCs w:val="24"/>
              </w:rPr>
            </w:pPr>
          </w:p>
          <w:p>
            <w:pPr>
              <w:adjustRightInd w:val="0"/>
              <w:snapToGrid w:val="0"/>
              <w:spacing w:line="240" w:lineRule="exact"/>
              <w:jc w:val="center"/>
              <w:rPr>
                <w:sz w:val="24"/>
                <w:szCs w:val="24"/>
              </w:rPr>
            </w:pPr>
            <w:r>
              <w:rPr>
                <w:sz w:val="24"/>
                <w:szCs w:val="24"/>
              </w:rPr>
              <w:t>洽谈交往型设施</w:t>
            </w:r>
          </w:p>
        </w:tc>
        <w:tc>
          <w:tcPr>
            <w:tcW w:w="2977" w:type="dxa"/>
            <w:vAlign w:val="center"/>
          </w:tcPr>
          <w:p>
            <w:pPr>
              <w:adjustRightInd w:val="0"/>
              <w:snapToGrid w:val="0"/>
              <w:spacing w:line="240" w:lineRule="exact"/>
              <w:jc w:val="center"/>
              <w:rPr>
                <w:sz w:val="24"/>
                <w:szCs w:val="24"/>
              </w:rPr>
            </w:pPr>
            <w:r>
              <w:rPr>
                <w:sz w:val="24"/>
                <w:szCs w:val="24"/>
              </w:rPr>
              <w:t>演讲厅</w:t>
            </w:r>
          </w:p>
        </w:tc>
        <w:tc>
          <w:tcPr>
            <w:tcW w:w="3309" w:type="dxa"/>
            <w:vAlign w:val="center"/>
          </w:tcPr>
          <w:p>
            <w:pPr>
              <w:adjustRightInd w:val="0"/>
              <w:snapToGrid w:val="0"/>
              <w:spacing w:line="240" w:lineRule="exact"/>
              <w:jc w:val="center"/>
              <w:rPr>
                <w:sz w:val="24"/>
                <w:szCs w:val="24"/>
              </w:rPr>
            </w:pPr>
          </w:p>
        </w:tc>
        <w:tc>
          <w:tcPr>
            <w:tcW w:w="3098" w:type="dxa"/>
            <w:vMerge w:val="restart"/>
            <w:vAlign w:val="center"/>
          </w:tcPr>
          <w:p>
            <w:pPr>
              <w:adjustRightInd w:val="0"/>
              <w:snapToGrid w:val="0"/>
              <w:spacing w:line="240" w:lineRule="exact"/>
              <w:jc w:val="left"/>
              <w:rPr>
                <w:sz w:val="24"/>
                <w:szCs w:val="24"/>
              </w:rPr>
            </w:pPr>
            <w:r>
              <w:rPr>
                <w:rFonts w:hint="eastAsia"/>
                <w:sz w:val="24"/>
                <w:szCs w:val="24"/>
              </w:rPr>
              <w:t>可结合设施布局需要按建筑设计规范设置于商业办公建筑内部。</w:t>
            </w:r>
          </w:p>
        </w:tc>
        <w:tc>
          <w:tcPr>
            <w:tcW w:w="2977" w:type="dxa"/>
            <w:vMerge w:val="restart"/>
            <w:vAlign w:val="center"/>
          </w:tcPr>
          <w:p>
            <w:pPr>
              <w:adjustRightInd w:val="0"/>
              <w:snapToGrid w:val="0"/>
              <w:spacing w:line="240" w:lineRule="exact"/>
              <w:rPr>
                <w:sz w:val="24"/>
                <w:szCs w:val="24"/>
              </w:rPr>
            </w:pPr>
            <w:r>
              <w:rPr>
                <w:rFonts w:hint="eastAsia"/>
                <w:sz w:val="24"/>
                <w:szCs w:val="24"/>
              </w:rPr>
              <w:t>设施内容借鉴新加坡纬壹科技园、东京丸之内商务办公地区的产业配套设施内容，建筑面积参考广州金融城起步区、琶洲互联网创新集聚区。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展示厅</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共享会客厅</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咖啡厅</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200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茶室</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200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创客空间</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500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1526" w:type="dxa"/>
            <w:vMerge w:val="restart"/>
            <w:vAlign w:val="center"/>
          </w:tcPr>
          <w:p>
            <w:pPr>
              <w:adjustRightInd w:val="0"/>
              <w:snapToGrid w:val="0"/>
              <w:spacing w:line="240" w:lineRule="exact"/>
              <w:jc w:val="center"/>
              <w:rPr>
                <w:sz w:val="24"/>
                <w:szCs w:val="24"/>
              </w:rPr>
            </w:pPr>
            <w:r>
              <w:rPr>
                <w:sz w:val="24"/>
                <w:szCs w:val="24"/>
              </w:rPr>
              <w:t>便民生活型设施</w:t>
            </w:r>
          </w:p>
        </w:tc>
        <w:tc>
          <w:tcPr>
            <w:tcW w:w="2977" w:type="dxa"/>
            <w:vAlign w:val="center"/>
          </w:tcPr>
          <w:p>
            <w:pPr>
              <w:adjustRightInd w:val="0"/>
              <w:snapToGrid w:val="0"/>
              <w:spacing w:line="240" w:lineRule="exact"/>
              <w:jc w:val="center"/>
              <w:rPr>
                <w:sz w:val="24"/>
                <w:szCs w:val="24"/>
              </w:rPr>
            </w:pPr>
            <w:r>
              <w:rPr>
                <w:sz w:val="24"/>
                <w:szCs w:val="24"/>
              </w:rPr>
              <w:t>日托中心</w:t>
            </w:r>
          </w:p>
        </w:tc>
        <w:tc>
          <w:tcPr>
            <w:tcW w:w="3309" w:type="dxa"/>
            <w:vAlign w:val="center"/>
          </w:tcPr>
          <w:p>
            <w:pPr>
              <w:adjustRightInd w:val="0"/>
              <w:snapToGrid w:val="0"/>
              <w:spacing w:line="240" w:lineRule="exact"/>
              <w:jc w:val="center"/>
              <w:rPr>
                <w:sz w:val="24"/>
                <w:szCs w:val="24"/>
              </w:rPr>
            </w:pPr>
            <w:r>
              <w:rPr>
                <w:sz w:val="24"/>
                <w:szCs w:val="24"/>
              </w:rPr>
              <w:t>600-800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理疗中心</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平价餐饮</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500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高端餐饮</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便利店</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100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超市</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300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亲子乐园</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母婴室</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中西药店</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200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26" w:type="dxa"/>
            <w:vMerge w:val="restart"/>
            <w:vAlign w:val="center"/>
          </w:tcPr>
          <w:p>
            <w:pPr>
              <w:adjustRightInd w:val="0"/>
              <w:snapToGrid w:val="0"/>
              <w:spacing w:line="240" w:lineRule="exact"/>
              <w:jc w:val="center"/>
              <w:rPr>
                <w:sz w:val="24"/>
                <w:szCs w:val="24"/>
              </w:rPr>
            </w:pPr>
            <w:r>
              <w:rPr>
                <w:sz w:val="24"/>
                <w:szCs w:val="24"/>
              </w:rPr>
              <w:t>便民生活型设施</w:t>
            </w:r>
          </w:p>
        </w:tc>
        <w:tc>
          <w:tcPr>
            <w:tcW w:w="2977" w:type="dxa"/>
            <w:vAlign w:val="center"/>
          </w:tcPr>
          <w:p>
            <w:pPr>
              <w:adjustRightInd w:val="0"/>
              <w:snapToGrid w:val="0"/>
              <w:spacing w:line="240" w:lineRule="exact"/>
              <w:jc w:val="center"/>
              <w:rPr>
                <w:sz w:val="24"/>
                <w:szCs w:val="24"/>
              </w:rPr>
            </w:pPr>
            <w:r>
              <w:rPr>
                <w:rFonts w:hint="eastAsia"/>
                <w:sz w:val="24"/>
                <w:szCs w:val="24"/>
              </w:rPr>
              <w:t>物流配送站</w:t>
            </w:r>
          </w:p>
        </w:tc>
        <w:tc>
          <w:tcPr>
            <w:tcW w:w="3309" w:type="dxa"/>
            <w:vAlign w:val="center"/>
          </w:tcPr>
          <w:p>
            <w:pPr>
              <w:adjustRightInd w:val="0"/>
              <w:snapToGrid w:val="0"/>
              <w:spacing w:line="240" w:lineRule="exact"/>
              <w:jc w:val="center"/>
              <w:rPr>
                <w:sz w:val="24"/>
                <w:szCs w:val="24"/>
              </w:rPr>
            </w:pPr>
            <w:r>
              <w:rPr>
                <w:rFonts w:hint="eastAsia"/>
                <w:sz w:val="24"/>
                <w:szCs w:val="24"/>
              </w:rPr>
              <w:t>300-500</w:t>
            </w:r>
          </w:p>
        </w:tc>
        <w:tc>
          <w:tcPr>
            <w:tcW w:w="3098" w:type="dxa"/>
            <w:vMerge w:val="restart"/>
            <w:vAlign w:val="center"/>
          </w:tcPr>
          <w:p>
            <w:pPr>
              <w:adjustRightInd w:val="0"/>
              <w:snapToGrid w:val="0"/>
              <w:spacing w:line="240" w:lineRule="exact"/>
              <w:jc w:val="left"/>
              <w:rPr>
                <w:sz w:val="24"/>
                <w:szCs w:val="24"/>
              </w:rPr>
            </w:pPr>
            <w:r>
              <w:rPr>
                <w:rFonts w:hint="eastAsia"/>
                <w:sz w:val="24"/>
                <w:szCs w:val="24"/>
              </w:rPr>
              <w:t>可结合设施布局需要按建筑设计规范设置于商业办公建筑内部。</w:t>
            </w: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快递送达设施</w:t>
            </w:r>
          </w:p>
          <w:p>
            <w:pPr>
              <w:adjustRightInd w:val="0"/>
              <w:snapToGrid w:val="0"/>
              <w:spacing w:line="240" w:lineRule="exact"/>
              <w:jc w:val="center"/>
              <w:rPr>
                <w:sz w:val="24"/>
                <w:szCs w:val="24"/>
              </w:rPr>
            </w:pPr>
            <w:r>
              <w:rPr>
                <w:rFonts w:hint="eastAsia"/>
                <w:sz w:val="24"/>
                <w:szCs w:val="24"/>
              </w:rPr>
              <w:t>（智能快件箱、快递快餐收发点）</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50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洗衣店</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526" w:type="dxa"/>
            <w:vMerge w:val="restart"/>
            <w:vAlign w:val="center"/>
          </w:tcPr>
          <w:p>
            <w:pPr>
              <w:adjustRightInd w:val="0"/>
              <w:snapToGrid w:val="0"/>
              <w:spacing w:line="240" w:lineRule="exact"/>
              <w:jc w:val="center"/>
              <w:rPr>
                <w:sz w:val="24"/>
                <w:szCs w:val="24"/>
              </w:rPr>
            </w:pPr>
          </w:p>
          <w:p>
            <w:pPr>
              <w:adjustRightInd w:val="0"/>
              <w:snapToGrid w:val="0"/>
              <w:spacing w:line="240" w:lineRule="exact"/>
              <w:jc w:val="center"/>
              <w:rPr>
                <w:sz w:val="24"/>
                <w:szCs w:val="24"/>
              </w:rPr>
            </w:pPr>
            <w:r>
              <w:rPr>
                <w:sz w:val="24"/>
                <w:szCs w:val="24"/>
              </w:rPr>
              <w:t>休闲娱乐型设施</w:t>
            </w:r>
          </w:p>
        </w:tc>
        <w:tc>
          <w:tcPr>
            <w:tcW w:w="2977" w:type="dxa"/>
            <w:vAlign w:val="center"/>
          </w:tcPr>
          <w:p>
            <w:pPr>
              <w:adjustRightInd w:val="0"/>
              <w:snapToGrid w:val="0"/>
              <w:spacing w:line="240" w:lineRule="exact"/>
              <w:jc w:val="center"/>
              <w:rPr>
                <w:sz w:val="24"/>
                <w:szCs w:val="24"/>
              </w:rPr>
            </w:pPr>
            <w:r>
              <w:rPr>
                <w:sz w:val="24"/>
                <w:szCs w:val="24"/>
              </w:rPr>
              <w:t>电影院</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1500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剧院</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500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画廊</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酒吧</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200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健身中心</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1000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美容美发</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书店</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300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艺术课堂</w:t>
            </w:r>
          </w:p>
        </w:tc>
        <w:tc>
          <w:tcPr>
            <w:tcW w:w="3309" w:type="dxa"/>
            <w:vAlign w:val="center"/>
          </w:tcPr>
          <w:p>
            <w:pPr>
              <w:adjustRightInd w:val="0"/>
              <w:snapToGrid w:val="0"/>
              <w:spacing w:line="240" w:lineRule="exact"/>
              <w:jc w:val="center"/>
              <w:rPr>
                <w:sz w:val="24"/>
                <w:szCs w:val="24"/>
              </w:rPr>
            </w:pP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26" w:type="dxa"/>
            <w:vMerge w:val="restart"/>
            <w:vAlign w:val="center"/>
          </w:tcPr>
          <w:p>
            <w:pPr>
              <w:adjustRightInd w:val="0"/>
              <w:snapToGrid w:val="0"/>
              <w:spacing w:line="240" w:lineRule="exact"/>
              <w:jc w:val="center"/>
              <w:rPr>
                <w:sz w:val="24"/>
                <w:szCs w:val="24"/>
              </w:rPr>
            </w:pPr>
            <w:r>
              <w:rPr>
                <w:sz w:val="24"/>
                <w:szCs w:val="24"/>
              </w:rPr>
              <w:t>商务服务型设施</w:t>
            </w:r>
          </w:p>
        </w:tc>
        <w:tc>
          <w:tcPr>
            <w:tcW w:w="2977" w:type="dxa"/>
            <w:vAlign w:val="center"/>
          </w:tcPr>
          <w:p>
            <w:pPr>
              <w:adjustRightInd w:val="0"/>
              <w:snapToGrid w:val="0"/>
              <w:spacing w:line="240" w:lineRule="exact"/>
              <w:jc w:val="center"/>
              <w:rPr>
                <w:sz w:val="24"/>
                <w:szCs w:val="24"/>
              </w:rPr>
            </w:pPr>
            <w:r>
              <w:rPr>
                <w:rFonts w:hint="eastAsia"/>
                <w:sz w:val="24"/>
                <w:szCs w:val="24"/>
              </w:rPr>
              <w:t>电信</w:t>
            </w:r>
            <w:r>
              <w:rPr>
                <w:sz w:val="24"/>
                <w:szCs w:val="24"/>
              </w:rPr>
              <w:t>营业</w:t>
            </w:r>
            <w:r>
              <w:rPr>
                <w:rFonts w:hint="eastAsia"/>
                <w:sz w:val="24"/>
                <w:szCs w:val="24"/>
              </w:rPr>
              <w:t>场所</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200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sz w:val="24"/>
                <w:szCs w:val="24"/>
              </w:rPr>
              <w:t>银行</w:t>
            </w:r>
            <w:r>
              <w:rPr>
                <w:rFonts w:hint="eastAsia"/>
                <w:sz w:val="24"/>
                <w:szCs w:val="24"/>
              </w:rPr>
              <w:t>营业</w:t>
            </w:r>
            <w:r>
              <w:rPr>
                <w:sz w:val="24"/>
                <w:szCs w:val="24"/>
              </w:rPr>
              <w:t>网点</w:t>
            </w:r>
          </w:p>
        </w:tc>
        <w:tc>
          <w:tcPr>
            <w:tcW w:w="3309" w:type="dxa"/>
            <w:vAlign w:val="center"/>
          </w:tcPr>
          <w:p>
            <w:pPr>
              <w:adjustRightInd w:val="0"/>
              <w:snapToGrid w:val="0"/>
              <w:spacing w:line="240" w:lineRule="exact"/>
              <w:jc w:val="center"/>
              <w:rPr>
                <w:sz w:val="24"/>
                <w:szCs w:val="24"/>
              </w:rPr>
            </w:pPr>
            <w:r>
              <w:rPr>
                <w:rFonts w:hint="eastAsia"/>
                <w:sz w:val="24"/>
                <w:szCs w:val="24"/>
              </w:rPr>
              <w:t>≥</w:t>
            </w:r>
            <w:r>
              <w:rPr>
                <w:sz w:val="24"/>
                <w:szCs w:val="24"/>
              </w:rPr>
              <w:t>300</w:t>
            </w:r>
          </w:p>
        </w:tc>
        <w:tc>
          <w:tcPr>
            <w:tcW w:w="3098" w:type="dxa"/>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1526" w:type="dxa"/>
            <w:vMerge w:val="restart"/>
            <w:vAlign w:val="center"/>
          </w:tcPr>
          <w:p>
            <w:pPr>
              <w:adjustRightInd w:val="0"/>
              <w:snapToGrid w:val="0"/>
              <w:spacing w:line="240" w:lineRule="exact"/>
              <w:jc w:val="center"/>
              <w:rPr>
                <w:sz w:val="24"/>
                <w:szCs w:val="24"/>
              </w:rPr>
            </w:pPr>
            <w:r>
              <w:rPr>
                <w:rFonts w:hint="eastAsia"/>
                <w:sz w:val="24"/>
                <w:szCs w:val="24"/>
              </w:rPr>
              <w:t>市政公用型设施</w:t>
            </w:r>
          </w:p>
        </w:tc>
        <w:tc>
          <w:tcPr>
            <w:tcW w:w="2977" w:type="dxa"/>
            <w:vAlign w:val="center"/>
          </w:tcPr>
          <w:p>
            <w:pPr>
              <w:adjustRightInd w:val="0"/>
              <w:snapToGrid w:val="0"/>
              <w:spacing w:line="240" w:lineRule="exact"/>
              <w:jc w:val="center"/>
              <w:rPr>
                <w:sz w:val="24"/>
                <w:szCs w:val="24"/>
              </w:rPr>
            </w:pPr>
            <w:r>
              <w:rPr>
                <w:rFonts w:hint="eastAsia"/>
                <w:sz w:val="24"/>
                <w:szCs w:val="24"/>
              </w:rPr>
              <w:t>供电</w:t>
            </w:r>
          </w:p>
        </w:tc>
        <w:tc>
          <w:tcPr>
            <w:tcW w:w="6407" w:type="dxa"/>
            <w:gridSpan w:val="2"/>
            <w:vMerge w:val="restart"/>
            <w:vAlign w:val="center"/>
          </w:tcPr>
          <w:p>
            <w:pPr>
              <w:adjustRightInd w:val="0"/>
              <w:snapToGrid w:val="0"/>
              <w:spacing w:line="240" w:lineRule="exact"/>
              <w:jc w:val="left"/>
              <w:rPr>
                <w:sz w:val="24"/>
                <w:szCs w:val="24"/>
              </w:rPr>
            </w:pPr>
            <w:r>
              <w:rPr>
                <w:rFonts w:hint="eastAsia"/>
                <w:sz w:val="24"/>
                <w:szCs w:val="24"/>
              </w:rPr>
              <w:t>参照71号令的要求，结合实际需要设置。</w:t>
            </w:r>
          </w:p>
        </w:tc>
        <w:tc>
          <w:tcPr>
            <w:tcW w:w="2977" w:type="dxa"/>
            <w:vMerge w:val="restart"/>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环卫</w:t>
            </w:r>
          </w:p>
        </w:tc>
        <w:tc>
          <w:tcPr>
            <w:tcW w:w="6407" w:type="dxa"/>
            <w:gridSpan w:val="2"/>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消防</w:t>
            </w:r>
          </w:p>
        </w:tc>
        <w:tc>
          <w:tcPr>
            <w:tcW w:w="6407" w:type="dxa"/>
            <w:gridSpan w:val="2"/>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公共厕所</w:t>
            </w:r>
          </w:p>
        </w:tc>
        <w:tc>
          <w:tcPr>
            <w:tcW w:w="6407" w:type="dxa"/>
            <w:gridSpan w:val="2"/>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社会停车场</w:t>
            </w:r>
          </w:p>
        </w:tc>
        <w:tc>
          <w:tcPr>
            <w:tcW w:w="6407" w:type="dxa"/>
            <w:gridSpan w:val="2"/>
            <w:vMerge w:val="continue"/>
            <w:vAlign w:val="center"/>
          </w:tcPr>
          <w:p>
            <w:pPr>
              <w:adjustRightInd w:val="0"/>
              <w:snapToGrid w:val="0"/>
              <w:spacing w:line="240" w:lineRule="exact"/>
              <w:jc w:val="center"/>
              <w:rPr>
                <w:sz w:val="24"/>
                <w:szCs w:val="24"/>
              </w:rPr>
            </w:pPr>
          </w:p>
        </w:tc>
        <w:tc>
          <w:tcPr>
            <w:tcW w:w="2977" w:type="dxa"/>
            <w:vMerge w:val="continue"/>
            <w:vAlign w:val="center"/>
          </w:tcPr>
          <w:p>
            <w:pPr>
              <w:adjustRightInd w:val="0"/>
              <w:snapToGrid w:val="0"/>
              <w:spacing w:line="24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526" w:type="dxa"/>
            <w:vMerge w:val="continue"/>
            <w:vAlign w:val="center"/>
          </w:tcPr>
          <w:p>
            <w:pPr>
              <w:adjustRightInd w:val="0"/>
              <w:snapToGrid w:val="0"/>
              <w:spacing w:line="240" w:lineRule="exact"/>
              <w:jc w:val="center"/>
              <w:rPr>
                <w:sz w:val="24"/>
                <w:szCs w:val="24"/>
              </w:rPr>
            </w:pPr>
          </w:p>
        </w:tc>
        <w:tc>
          <w:tcPr>
            <w:tcW w:w="2977" w:type="dxa"/>
            <w:vAlign w:val="center"/>
          </w:tcPr>
          <w:p>
            <w:pPr>
              <w:adjustRightInd w:val="0"/>
              <w:snapToGrid w:val="0"/>
              <w:spacing w:line="240" w:lineRule="exact"/>
              <w:jc w:val="center"/>
              <w:rPr>
                <w:sz w:val="24"/>
                <w:szCs w:val="24"/>
              </w:rPr>
            </w:pPr>
            <w:r>
              <w:rPr>
                <w:rFonts w:hint="eastAsia"/>
                <w:sz w:val="24"/>
                <w:szCs w:val="24"/>
              </w:rPr>
              <w:t>公交站场</w:t>
            </w:r>
          </w:p>
        </w:tc>
        <w:tc>
          <w:tcPr>
            <w:tcW w:w="6407" w:type="dxa"/>
            <w:gridSpan w:val="2"/>
            <w:vAlign w:val="center"/>
          </w:tcPr>
          <w:p>
            <w:pPr>
              <w:adjustRightInd w:val="0"/>
              <w:snapToGrid w:val="0"/>
              <w:spacing w:line="240" w:lineRule="exact"/>
              <w:jc w:val="left"/>
              <w:rPr>
                <w:sz w:val="24"/>
                <w:szCs w:val="24"/>
              </w:rPr>
            </w:pPr>
            <w:r>
              <w:rPr>
                <w:rFonts w:hint="eastAsia"/>
                <w:sz w:val="24"/>
                <w:szCs w:val="24"/>
              </w:rPr>
              <w:t>按照附表</w:t>
            </w:r>
            <w:r>
              <w:rPr>
                <w:sz w:val="24"/>
                <w:szCs w:val="24"/>
              </w:rPr>
              <w:t>2</w:t>
            </w:r>
            <w:r>
              <w:rPr>
                <w:rFonts w:hint="eastAsia"/>
                <w:sz w:val="24"/>
                <w:szCs w:val="24"/>
              </w:rPr>
              <w:t>中街道级公交站场要求设置。</w:t>
            </w:r>
          </w:p>
        </w:tc>
        <w:tc>
          <w:tcPr>
            <w:tcW w:w="2977" w:type="dxa"/>
            <w:vAlign w:val="center"/>
          </w:tcPr>
          <w:p>
            <w:pPr>
              <w:adjustRightInd w:val="0"/>
              <w:snapToGrid w:val="0"/>
              <w:spacing w:line="240" w:lineRule="exact"/>
              <w:rPr>
                <w:sz w:val="24"/>
                <w:szCs w:val="24"/>
              </w:rPr>
            </w:pPr>
          </w:p>
        </w:tc>
      </w:tr>
    </w:tbl>
    <w:p>
      <w:pPr>
        <w:spacing w:line="20" w:lineRule="exact"/>
      </w:pPr>
    </w:p>
    <w:sectPr>
      <w:headerReference r:id="rId6" w:type="default"/>
      <w:footerReference r:id="rId7" w:type="default"/>
      <w:pgSz w:w="16838" w:h="11906" w:orient="landscape"/>
      <w:pgMar w:top="1803" w:right="1440" w:bottom="1803" w:left="1440" w:header="851" w:footer="992"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948680" cy="1487170"/>
              <wp:effectExtent l="2230755" t="0" r="0" b="0"/>
              <wp:wrapNone/>
              <wp:docPr id="5" name="矩形 5"/>
              <wp:cNvGraphicFramePr/>
              <a:graphic xmlns:a="http://schemas.openxmlformats.org/drawingml/2006/main">
                <a:graphicData uri="http://schemas.microsoft.com/office/word/2010/wordprocessingShape">
                  <wps:wsp>
                    <wps:cNvSpPr>
                      <a:spLocks noTextEdit="1"/>
                    </wps:cNvSpPr>
                    <wps:spPr>
                      <a:xfrm rot="-2700000">
                        <a:off x="0" y="0"/>
                        <a:ext cx="5948680" cy="1487170"/>
                      </a:xfrm>
                      <a:prstGeom prst="rect">
                        <a:avLst/>
                      </a:prstGeom>
                      <a:noFill/>
                      <a:ln>
                        <a:noFill/>
                      </a:ln>
                      <a:effectLst/>
                    </wps:spPr>
                    <wps:txbx>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wps:txbx>
                    <wps:bodyPr upright="1">
                      <a:spAutoFit/>
                    </wps:bodyPr>
                  </wps:wsp>
                </a:graphicData>
              </a:graphic>
            </wp:anchor>
          </w:drawing>
        </mc:Choice>
        <mc:Fallback>
          <w:pict>
            <v:rect id="_x0000_s1026" o:spid="_x0000_s1026" o:spt="1" style="position:absolute;left:0pt;height:117.1pt;width:468.4pt;mso-position-horizontal:center;mso-position-horizontal-relative:margin;mso-position-vertical:center;mso-position-vertical-relative:margin;rotation:-2949120f;z-index:-251656192;mso-width-relative:page;mso-height-relative:page;" filled="f" stroked="f" coordsize="21600,21600" o:allowincell="f" o:gfxdata="UEsDBAoAAAAAAIdO4kAAAAAAAAAAAAAAAAAEAAAAZHJzL1BLAwQUAAAACACHTuJAj63W49cAAAAF&#10;AQAADwAAAGRycy9kb3ducmV2LnhtbE2PwU7DMBBE70j8g7VIXBC1m6KIhjg9FAGXqlIbLr258ZJE&#10;jdchdtrw9yxc4DLSalYzb/LV5DpxxiG0njTMZwoEUuVtS7WG9/Ll/hFEiIas6Tyhhi8MsCqur3KT&#10;WX+hHZ73sRYcQiEzGpoY+0zKUDXoTJj5Hom9Dz84E/kcamkHc+Fw18lEqVQ60xI3NKbHdYPVaT86&#10;Ddu2VM9vrd9O681nejpsxtcyvdP69maunkBEnOLfM/zgMzoUzHT0I9kgOg08JP4qe8tFyjOOGpLF&#10;QwKyyOV/+uIbUEsDBBQAAAAIAIdO4kCn+fxFtAEAAFMDAAAOAAAAZHJzL2Uyb0RvYy54bWytU0GO&#10;0zAU3SNxB8v7aZJqOi1R0xHSMGxGMNIMB3Adu7GI/a1vt0lPg8SOQ3AcxDX4dqOWgR0iC8v+fn7+&#10;7z1nfTvanh0UBgOu4dWs5Ew5Ca1xu4Z/er6/WnEWonCt6MGphh9V4Leb16/Wg6/VHDroW4WMSFyo&#10;B9/wLkZfF0WQnbIizMArR5sa0IpIS9wVLYqB2G1fzMvyphgAW48gVQhUvTtt8k3m11rJ+FHroCLr&#10;G069xTxiHrdpLDZrUe9Q+M7IqQ3xD11YYRxdeqa6E1GwPZq/qKyRCAF0nEmwBWhtpMoaSE1V/qHm&#10;qRNeZS1kTvBnm8L/o5UfDo/ITNvwBWdOWIro55dvP75/ZYvkzeBDTZAn/4hJXfAPID8H5uBZjfFd&#10;a8jPKuGKF8C0CNORUaNlCAS8mi/L9GWfSDkbcwzHcwxEySQVF2+uVzcrSkvSXnW9WlbLHFQh6sSW&#10;GvEY4nsFlqVJw5FyzrTi8BBi6ucCSXAH96bvc9a9e1Eg4Kmi8mOZTl8EpFkct+PkxRbaI/m192h2&#10;XRZ/suXtPtIV+eZ04gSbbKHkckPTK0tP4/d1Rl3+h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3W49cAAAAFAQAADwAAAAAAAAABACAAAAAiAAAAZHJzL2Rvd25yZXYueG1sUEsBAhQAFAAAAAgA&#10;h07iQKf5/EW0AQAAUwMAAA4AAAAAAAAAAQAgAAAAJgEAAGRycy9lMm9Eb2MueG1sUEsFBgAAAAAG&#10;AAYAWQEAAEwFAAAAAA==&#10;">
              <v:fill on="f" focussize="0,0"/>
              <v:stroke on="f"/>
              <v:imagedata o:title=""/>
              <o:lock v:ext="edit" text="t" aspectratio="f"/>
              <v:textbox style="mso-fit-shape-to-text:t;">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948680" cy="1487170"/>
              <wp:effectExtent l="2230755" t="0" r="0" b="0"/>
              <wp:wrapNone/>
              <wp:docPr id="3" name="矩形 3"/>
              <wp:cNvGraphicFramePr/>
              <a:graphic xmlns:a="http://schemas.openxmlformats.org/drawingml/2006/main">
                <a:graphicData uri="http://schemas.microsoft.com/office/word/2010/wordprocessingShape">
                  <wps:wsp>
                    <wps:cNvSpPr>
                      <a:spLocks noTextEdit="1"/>
                    </wps:cNvSpPr>
                    <wps:spPr>
                      <a:xfrm rot="-2700000">
                        <a:off x="0" y="0"/>
                        <a:ext cx="5948680" cy="1487170"/>
                      </a:xfrm>
                      <a:prstGeom prst="rect">
                        <a:avLst/>
                      </a:prstGeom>
                      <a:noFill/>
                      <a:ln>
                        <a:noFill/>
                      </a:ln>
                      <a:effectLst/>
                    </wps:spPr>
                    <wps:txbx>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wps:txbx>
                    <wps:bodyPr upright="1">
                      <a:spAutoFit/>
                    </wps:bodyPr>
                  </wps:wsp>
                </a:graphicData>
              </a:graphic>
            </wp:anchor>
          </w:drawing>
        </mc:Choice>
        <mc:Fallback>
          <w:pict>
            <v:rect id="_x0000_s1026" o:spid="_x0000_s1026" o:spt="1" style="position:absolute;left:0pt;height:117.1pt;width:468.4pt;mso-position-horizontal:center;mso-position-horizontal-relative:margin;mso-position-vertical:center;mso-position-vertical-relative:margin;rotation:-2949120f;z-index:-251655168;mso-width-relative:page;mso-height-relative:page;" filled="f" stroked="f" coordsize="21600,21600" o:allowincell="f" o:gfxdata="UEsDBAoAAAAAAIdO4kAAAAAAAAAAAAAAAAAEAAAAZHJzL1BLAwQUAAAACACHTuJAj63W49cAAAAF&#10;AQAADwAAAGRycy9kb3ducmV2LnhtbE2PwU7DMBBE70j8g7VIXBC1m6KIhjg9FAGXqlIbLr258ZJE&#10;jdchdtrw9yxc4DLSalYzb/LV5DpxxiG0njTMZwoEUuVtS7WG9/Ll/hFEiIas6Tyhhi8MsCqur3KT&#10;WX+hHZ73sRYcQiEzGpoY+0zKUDXoTJj5Hom9Dz84E/kcamkHc+Fw18lEqVQ60xI3NKbHdYPVaT86&#10;Ddu2VM9vrd9O681nejpsxtcyvdP69maunkBEnOLfM/zgMzoUzHT0I9kgOg08JP4qe8tFyjOOGpLF&#10;QwKyyOV/+uIbUEsDBBQAAAAIAIdO4kDBlFaAtQEAAFMDAAAOAAAAZHJzL2Uyb0RvYy54bWytU0Fu&#10;2zAQvBfoHwjeY0lOGruC5aBAml6CNkDSB9AUaREVucSStuTXFOitj+hzin4jS1qwm/ZWVAeCXA6H&#10;OzPU6ma0PdsrDAZcw6tZyZlyElrjtg3//HR3seQsROFa0YNTDT+owG/Wr1+tBl+rOXTQtwoZkbhQ&#10;D77hXYy+LoogO2VFmIFXjjY1oBWRlrgtWhQDsdu+mJfldTEAth5BqhCoenvc5OvMr7WS8ZPWQUXW&#10;N5x6i3nEPG7SWKxXot6i8J2RUxviH7qwwji69ER1K6JgOzR/UVkjEQLoOJNgC9DaSJU1kJqq/EPN&#10;Yye8ylrInOBPNoX/Rys/7h+Qmbbhl5w5YSmiX1+///zxjV0mbwYfaoI8+gdM6oK/B/klMAdPaozv&#10;W0N+VglXvACmRZiOjBotQyDgxXxRpi/7RMrZmGM4nGIgSiap+Obt1fJ6SWlJ2quulotqkYMqRJ3Y&#10;UiMeQ/ygwLI0aThSzplW7O9DTP2cIQnu4M70fc66dy8KBDxWVH4s0+mzgDSL42acvNhAeyC/dh7N&#10;tsvij7a820W6It+cThxhky2UXG5oemXpafy+zqjzv7B+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t1uPXAAAABQEAAA8AAAAAAAAAAQAgAAAAIgAAAGRycy9kb3ducmV2LnhtbFBLAQIUABQAAAAI&#10;AIdO4kDBlFaAtQEAAFMDAAAOAAAAAAAAAAEAIAAAACYBAABkcnMvZTJvRG9jLnhtbFBLBQYAAAAA&#10;BgAGAFkBAABNBQAAAAA=&#10;">
              <v:fill on="f" focussize="0,0"/>
              <v:stroke on="f"/>
              <v:imagedata o:title=""/>
              <o:lock v:ext="edit" text="t" aspectratio="f"/>
              <v:textbox style="mso-fit-shape-to-text:t;">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48680" cy="1487170"/>
              <wp:effectExtent l="2230755" t="0" r="0" b="0"/>
              <wp:wrapNone/>
              <wp:docPr id="4" name="矩形 4"/>
              <wp:cNvGraphicFramePr/>
              <a:graphic xmlns:a="http://schemas.openxmlformats.org/drawingml/2006/main">
                <a:graphicData uri="http://schemas.microsoft.com/office/word/2010/wordprocessingShape">
                  <wps:wsp>
                    <wps:cNvSpPr>
                      <a:spLocks noTextEdit="1"/>
                    </wps:cNvSpPr>
                    <wps:spPr>
                      <a:xfrm rot="-2700000">
                        <a:off x="0" y="0"/>
                        <a:ext cx="5948680" cy="1487170"/>
                      </a:xfrm>
                      <a:prstGeom prst="rect">
                        <a:avLst/>
                      </a:prstGeom>
                      <a:noFill/>
                      <a:ln>
                        <a:noFill/>
                      </a:ln>
                      <a:effectLst/>
                    </wps:spPr>
                    <wps:txbx>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wps:txbx>
                    <wps:bodyPr upright="1">
                      <a:spAutoFit/>
                    </wps:bodyPr>
                  </wps:wsp>
                </a:graphicData>
              </a:graphic>
            </wp:anchor>
          </w:drawing>
        </mc:Choice>
        <mc:Fallback>
          <w:pict>
            <v:rect id="_x0000_s1026" o:spid="_x0000_s1026" o:spt="1" style="position:absolute;left:0pt;height:117.1pt;width:468.4pt;mso-position-horizontal:center;mso-position-horizontal-relative:margin;mso-position-vertical:center;mso-position-vertical-relative:margin;rotation:-2949120f;z-index:-251657216;mso-width-relative:page;mso-height-relative:page;" filled="f" stroked="f" coordsize="21600,21600" o:allowincell="f" o:gfxdata="UEsDBAoAAAAAAIdO4kAAAAAAAAAAAAAAAAAEAAAAZHJzL1BLAwQUAAAACACHTuJAj63W49cAAAAF&#10;AQAADwAAAGRycy9kb3ducmV2LnhtbE2PwU7DMBBE70j8g7VIXBC1m6KIhjg9FAGXqlIbLr258ZJE&#10;jdchdtrw9yxc4DLSalYzb/LV5DpxxiG0njTMZwoEUuVtS7WG9/Ll/hFEiIas6Tyhhi8MsCqur3KT&#10;WX+hHZ73sRYcQiEzGpoY+0zKUDXoTJj5Hom9Dz84E/kcamkHc+Fw18lEqVQ60xI3NKbHdYPVaT86&#10;Ddu2VM9vrd9O681nejpsxtcyvdP69maunkBEnOLfM/zgMzoUzHT0I9kgOg08JP4qe8tFyjOOGpLF&#10;QwKyyOV/+uIbUEsDBBQAAAAIAIdO4kAJFp/StAEAAFMDAAAOAAAAZHJzL2Uyb0RvYy54bWytU0GO&#10;0zAU3SNxB8v7aZKqTEvUdIQ0DJsRjDQzB3Adu7GI/S1/t0lPg8SOQ3AcxDX4dqOWgR0iC8v+fn7+&#10;7z1nfTPanh1UQAOu4dWs5Ew5Ca1xu4Y/P91drTjDKFwrenCq4UeF/Gbz+tV68LWaQwd9qwIjEof1&#10;4BvexejrokDZKStwBl452tQQrIi0DLuiDWIgdtsX87K8LgYIrQ8gFSJVb0+bfJP5tVYyftIaVWR9&#10;w6m3mMeQx20ai81a1LsgfGfk1Ib4hy6sMI4uPVPdiijYPpi/qKyRARB0nEmwBWhtpMoaSE1V/qHm&#10;sRNeZS1kDvqzTfj/aOXHw0Ngpm34gjMnLEX088u3H9+/skXyZvBYE+TRP4SkDv09yM/IHDypMb5v&#10;DflZJVzxApgWOB0ZdbAsAAGv5ssyfdknUs7GHMPxHANRMknFN28Xq+sVpSVpr1qsltUyB1WIOrGl&#10;RnzA+EGBZWnS8EA5Z1pxuMeY+rlAEtzBnen7nHXvXhQIeKqo/Fim0xcBaRbH7Th5sYX2SH7tfTC7&#10;Los/2fJuH+mKfHM6cYJNtlByuaHplaWn8fs6oy7/w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3W49cAAAAFAQAADwAAAAAAAAABACAAAAAiAAAAZHJzL2Rvd25yZXYueG1sUEsBAhQAFAAAAAgA&#10;h07iQAkWn9K0AQAAUwMAAA4AAAAAAAAAAQAgAAAAJgEAAGRycy9lMm9Eb2MueG1sUEsFBgAAAAAG&#10;AAYAWQEAAEwFAAAAAA==&#10;">
              <v:fill on="f" focussize="0,0"/>
              <v:stroke on="f"/>
              <v:imagedata o:title=""/>
              <o:lock v:ext="edit" text="t" aspectratio="f"/>
              <v:textbox style="mso-fit-shape-to-text:t;">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948680" cy="1487170"/>
              <wp:effectExtent l="2230755" t="0" r="0" b="0"/>
              <wp:wrapNone/>
              <wp:docPr id="6" name="矩形 6"/>
              <wp:cNvGraphicFramePr/>
              <a:graphic xmlns:a="http://schemas.openxmlformats.org/drawingml/2006/main">
                <a:graphicData uri="http://schemas.microsoft.com/office/word/2010/wordprocessingShape">
                  <wps:wsp>
                    <wps:cNvSpPr>
                      <a:spLocks noTextEdit="1"/>
                    </wps:cNvSpPr>
                    <wps:spPr>
                      <a:xfrm rot="-2700000">
                        <a:off x="0" y="0"/>
                        <a:ext cx="5948680" cy="1487170"/>
                      </a:xfrm>
                      <a:prstGeom prst="rect">
                        <a:avLst/>
                      </a:prstGeom>
                      <a:noFill/>
                      <a:ln>
                        <a:noFill/>
                      </a:ln>
                      <a:effectLst/>
                    </wps:spPr>
                    <wps:txbx>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wps:txbx>
                    <wps:bodyPr upright="1">
                      <a:spAutoFit/>
                    </wps:bodyPr>
                  </wps:wsp>
                </a:graphicData>
              </a:graphic>
            </wp:anchor>
          </w:drawing>
        </mc:Choice>
        <mc:Fallback>
          <w:pict>
            <v:rect id="_x0000_s1026" o:spid="_x0000_s1026" o:spt="1" style="position:absolute;left:0pt;height:117.1pt;width:468.4pt;mso-position-horizontal:center;mso-position-horizontal-relative:margin;mso-position-vertical:center;mso-position-vertical-relative:margin;rotation:-2949120f;z-index:-251654144;mso-width-relative:page;mso-height-relative:page;" filled="f" stroked="f" coordsize="21600,21600" o:allowincell="f" o:gfxdata="UEsDBAoAAAAAAIdO4kAAAAAAAAAAAAAAAAAEAAAAZHJzL1BLAwQUAAAACACHTuJAj63W49cAAAAF&#10;AQAADwAAAGRycy9kb3ducmV2LnhtbE2PwU7DMBBE70j8g7VIXBC1m6KIhjg9FAGXqlIbLr258ZJE&#10;jdchdtrw9yxc4DLSalYzb/LV5DpxxiG0njTMZwoEUuVtS7WG9/Ll/hFEiIas6Tyhhi8MsCqur3KT&#10;WX+hHZ73sRYcQiEzGpoY+0zKUDXoTJj5Hom9Dz84E/kcamkHc+Fw18lEqVQ60xI3NKbHdYPVaT86&#10;Ddu2VM9vrd9O681nejpsxtcyvdP69maunkBEnOLfM/zgMzoUzHT0I9kgOg08JP4qe8tFyjOOGpLF&#10;QwKyyOV/+uIbUEsDBBQAAAAIAIdO4kAUzykntAEAAFMDAAAOAAAAZHJzL2Uyb0RvYy54bWytU0GO&#10;0zAU3SNxB8v7aZJqaEvUdIQ0DJsRjDQzB3Adu7GI/S1/t0lPg8SOQ3AcxDX4dqOWgR0iC8v+fn7+&#10;7z1nfTPanh1UQAOu4dWs5Ew5Ca1xu4Y/P91drTjDKFwrenCq4UeF/Gbz+tV68LWaQwd9qwIjEof1&#10;4BvexejrokDZKStwBl452tQQrIi0DLuiDWIgdtsX87JcFAOE1geQCpGqt6dNvsn8WisZP2mNKrK+&#10;4dRbzGPI4zaNxWYt6l0QvjNyakP8QxdWGEeXnqluRRRsH8xfVNbIAAg6ziTYArQ2UmUNpKYq/1Dz&#10;2AmvshYyB/3ZJvx/tPLj4SEw0zZ8wZkTliL6+eXbj+9f2SJ5M3isCfLoH0JSh/4e5GdkDp7UGN+3&#10;hvysEq54AUwLnI6MOlgWgIBX82WZvuwTKWdjjuF4joEomaTim7fXq8WK0pK0V12vltUyB1WIOrGl&#10;RnzA+EGBZWnS8EA5Z1pxuMeY+rlAEtzBnen7nHXvXhQIeKqo/Fim0xcBaRbH7Th5sYX2SH7tfTC7&#10;Los/2fJuH+mKfHM6cYJNtlByuaHplaWn8fs6oy7/w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63W49cAAAAFAQAADwAAAAAAAAABACAAAAAiAAAAZHJzL2Rvd25yZXYueG1sUEsBAhQAFAAAAAgA&#10;h07iQBTPKSe0AQAAUwMAAA4AAAAAAAAAAQAgAAAAJgEAAGRycy9lMm9Eb2MueG1sUEsFBgAAAAAG&#10;AAYAWQEAAEwFAAAAAA==&#10;">
              <v:fill on="f" focussize="0,0"/>
              <v:stroke on="f"/>
              <v:imagedata o:title=""/>
              <o:lock v:ext="edit" text="t" aspectratio="f"/>
              <v:textbox style="mso-fit-shape-to-text:t;">
                <w:txbxContent>
                  <w:p>
                    <w:pPr>
                      <w:pStyle w:val="6"/>
                      <w:spacing w:before="0" w:beforeAutospacing="0" w:after="0" w:afterAutospacing="0"/>
                      <w:jc w:val="center"/>
                      <w:rPr>
                        <w:szCs w:val="24"/>
                      </w:rPr>
                    </w:pPr>
                    <w:r>
                      <w:rPr>
                        <w:rFonts w:hint="eastAsia" w:ascii="楷体_GB2312" w:eastAsia="楷体_GB2312"/>
                        <w:color w:val="C0C0C0"/>
                        <w:sz w:val="2"/>
                        <w:szCs w:val="2"/>
                      </w:rPr>
                      <w:t>内部材料</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E2FD"/>
    <w:multiLevelType w:val="singleLevel"/>
    <w:tmpl w:val="3986E2FD"/>
    <w:lvl w:ilvl="0" w:tentative="0">
      <w:start w:val="1"/>
      <w:numFmt w:val="decimal"/>
      <w:lvlText w:val="%1."/>
      <w:lvlJc w:val="left"/>
      <w:pPr>
        <w:tabs>
          <w:tab w:val="left" w:pos="312"/>
        </w:tabs>
      </w:pPr>
    </w:lvl>
  </w:abstractNum>
  <w:abstractNum w:abstractNumId="1">
    <w:nsid w:val="7718795F"/>
    <w:multiLevelType w:val="singleLevel"/>
    <w:tmpl w:val="7718795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drawingGridVerticalSpacing w:val="21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ZTJjZDRiODg1ZGQ3ZTVhNjY4OWQ0MDUwN2M3NDIifQ=="/>
  </w:docVars>
  <w:rsids>
    <w:rsidRoot w:val="7C1C731B"/>
    <w:rsid w:val="00227D6A"/>
    <w:rsid w:val="002B61C0"/>
    <w:rsid w:val="004C2B2B"/>
    <w:rsid w:val="00536FAD"/>
    <w:rsid w:val="005E35A3"/>
    <w:rsid w:val="008E79D4"/>
    <w:rsid w:val="009A192C"/>
    <w:rsid w:val="009F03E8"/>
    <w:rsid w:val="00B1614C"/>
    <w:rsid w:val="00CC4FC3"/>
    <w:rsid w:val="01A9443F"/>
    <w:rsid w:val="01C3426B"/>
    <w:rsid w:val="032A1C9F"/>
    <w:rsid w:val="03AF7BEC"/>
    <w:rsid w:val="06486AC9"/>
    <w:rsid w:val="07FD7715"/>
    <w:rsid w:val="09827E1A"/>
    <w:rsid w:val="0A8B36B4"/>
    <w:rsid w:val="0AE61EC5"/>
    <w:rsid w:val="0B12469A"/>
    <w:rsid w:val="0B9D5531"/>
    <w:rsid w:val="0E3A7ADB"/>
    <w:rsid w:val="0E7B098F"/>
    <w:rsid w:val="0F1E309B"/>
    <w:rsid w:val="0FAD2544"/>
    <w:rsid w:val="1003717C"/>
    <w:rsid w:val="111B5D4D"/>
    <w:rsid w:val="113C726C"/>
    <w:rsid w:val="118C48CD"/>
    <w:rsid w:val="12D6589A"/>
    <w:rsid w:val="157C603B"/>
    <w:rsid w:val="15B96EC0"/>
    <w:rsid w:val="15CE1F0B"/>
    <w:rsid w:val="169B3ED3"/>
    <w:rsid w:val="16FE128D"/>
    <w:rsid w:val="173D7441"/>
    <w:rsid w:val="175148B2"/>
    <w:rsid w:val="18C26D5B"/>
    <w:rsid w:val="19334287"/>
    <w:rsid w:val="1A3348C7"/>
    <w:rsid w:val="1A473F6C"/>
    <w:rsid w:val="1D8461FD"/>
    <w:rsid w:val="1D886B6F"/>
    <w:rsid w:val="1D896786"/>
    <w:rsid w:val="1FC841D9"/>
    <w:rsid w:val="214D2666"/>
    <w:rsid w:val="22F74AE4"/>
    <w:rsid w:val="253A6A84"/>
    <w:rsid w:val="25926023"/>
    <w:rsid w:val="263329FD"/>
    <w:rsid w:val="279C49FB"/>
    <w:rsid w:val="283A1B62"/>
    <w:rsid w:val="28B82B57"/>
    <w:rsid w:val="29321648"/>
    <w:rsid w:val="2B231467"/>
    <w:rsid w:val="2C4C0D03"/>
    <w:rsid w:val="2CB12F0D"/>
    <w:rsid w:val="2E5A200C"/>
    <w:rsid w:val="2E81678E"/>
    <w:rsid w:val="2F9960EC"/>
    <w:rsid w:val="3021275F"/>
    <w:rsid w:val="307E4EB9"/>
    <w:rsid w:val="32F4688B"/>
    <w:rsid w:val="33CB7ACF"/>
    <w:rsid w:val="3438125F"/>
    <w:rsid w:val="34D93DA5"/>
    <w:rsid w:val="35933859"/>
    <w:rsid w:val="35DA52FA"/>
    <w:rsid w:val="35DF46E5"/>
    <w:rsid w:val="36216F65"/>
    <w:rsid w:val="37FB0A1D"/>
    <w:rsid w:val="3B827AF3"/>
    <w:rsid w:val="3B930F87"/>
    <w:rsid w:val="3F0B2CED"/>
    <w:rsid w:val="407C4A0F"/>
    <w:rsid w:val="4140078D"/>
    <w:rsid w:val="414853DD"/>
    <w:rsid w:val="419D4BA3"/>
    <w:rsid w:val="44D41FB3"/>
    <w:rsid w:val="46160A91"/>
    <w:rsid w:val="48063187"/>
    <w:rsid w:val="48844235"/>
    <w:rsid w:val="48C72835"/>
    <w:rsid w:val="48E312FB"/>
    <w:rsid w:val="4F33657D"/>
    <w:rsid w:val="4F817998"/>
    <w:rsid w:val="510F5E3F"/>
    <w:rsid w:val="51A351C3"/>
    <w:rsid w:val="52717389"/>
    <w:rsid w:val="53C84708"/>
    <w:rsid w:val="57237BFC"/>
    <w:rsid w:val="57490E65"/>
    <w:rsid w:val="574E744D"/>
    <w:rsid w:val="57B45AB0"/>
    <w:rsid w:val="57EB3C58"/>
    <w:rsid w:val="5922130D"/>
    <w:rsid w:val="5999118F"/>
    <w:rsid w:val="5A7D148A"/>
    <w:rsid w:val="5B363F42"/>
    <w:rsid w:val="5CFC6CED"/>
    <w:rsid w:val="5D3B091C"/>
    <w:rsid w:val="5DE80EB2"/>
    <w:rsid w:val="5EF82C5E"/>
    <w:rsid w:val="5FEE5D15"/>
    <w:rsid w:val="613F16F0"/>
    <w:rsid w:val="622346DB"/>
    <w:rsid w:val="62C6669E"/>
    <w:rsid w:val="63C6333E"/>
    <w:rsid w:val="63F90B80"/>
    <w:rsid w:val="64066F93"/>
    <w:rsid w:val="6ABC7CE3"/>
    <w:rsid w:val="6CB526E1"/>
    <w:rsid w:val="6D8A5C70"/>
    <w:rsid w:val="6FE514E1"/>
    <w:rsid w:val="72025A69"/>
    <w:rsid w:val="72E73F4B"/>
    <w:rsid w:val="73707395"/>
    <w:rsid w:val="73AF52CA"/>
    <w:rsid w:val="74650C92"/>
    <w:rsid w:val="74B071B5"/>
    <w:rsid w:val="756C00ED"/>
    <w:rsid w:val="78613629"/>
    <w:rsid w:val="78776DF2"/>
    <w:rsid w:val="79735214"/>
    <w:rsid w:val="7A2103C0"/>
    <w:rsid w:val="7B0B69B2"/>
    <w:rsid w:val="7C1C731B"/>
    <w:rsid w:val="7D0A561A"/>
    <w:rsid w:val="7DB219C0"/>
    <w:rsid w:val="7DD3673A"/>
    <w:rsid w:val="7E4D5FEF"/>
    <w:rsid w:val="7E7C1320"/>
    <w:rsid w:val="7F8F7E90"/>
    <w:rsid w:val="7F9B6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line="600" w:lineRule="exact"/>
      <w:jc w:val="center"/>
      <w:outlineLvl w:val="0"/>
    </w:pPr>
    <w:rPr>
      <w:rFonts w:ascii="等线" w:hAnsi="等线" w:eastAsia="方正小标宋简体"/>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Calibri" w:hAnsi="Calibri" w:eastAsia="宋体"/>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等线" w:hAnsi="等线" w:eastAsia="等线"/>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2"/>
    </w:rPr>
  </w:style>
  <w:style w:type="character" w:customStyle="1" w:styleId="9">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32</Pages>
  <Words>11221</Words>
  <Characters>12447</Characters>
  <Lines>97</Lines>
  <Paragraphs>27</Paragraphs>
  <TotalTime>2</TotalTime>
  <ScaleCrop>false</ScaleCrop>
  <LinksUpToDate>false</LinksUpToDate>
  <CharactersWithSpaces>12480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2020-09-22T02:27:00Z</dcterms:created>
  <dc:creator>周志炫</dc:creator>
  <cp:lastModifiedBy>周志炫</cp:lastModifiedBy>
  <cp:lastPrinted>2022-05-25T01:06:00Z</cp:lastPrinted>
  <dcterms:modified xsi:type="dcterms:W3CDTF">2022-09-13T03:40:19Z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49892CE43956420E8F7F5E6D4B2B942F</vt:lpwstr>
  </property>
</Properties>
</file>