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关于广州市花都区2023年度第</w:t>
      </w:r>
      <w:r>
        <w:rPr>
          <w:rFonts w:ascii="Times New Roman" w:hAnsi="Times New Roman" w:eastAsia="方正小标宋简体" w:cs="Times New Roman"/>
          <w:sz w:val="44"/>
          <w:szCs w:val="44"/>
        </w:rPr>
        <w:t>四十二</w:t>
      </w:r>
      <w:r>
        <w:rPr>
          <w:rFonts w:hint="eastAsia" w:ascii="Times New Roman" w:hAnsi="Times New Roman" w:eastAsia="方正小标宋简体" w:cs="Times New Roman"/>
          <w:sz w:val="44"/>
          <w:szCs w:val="44"/>
        </w:rPr>
        <w:t>批次城镇建设用地（秀全水库东一地块一（二期））的征地补偿安置方案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w:t>
      </w:r>
      <w:r>
        <w:rPr>
          <w:rFonts w:ascii="仿宋_GB2312" w:hAnsi="仿宋_GB2312" w:eastAsia="仿宋_GB2312" w:cs="仿宋_GB2312"/>
          <w:sz w:val="32"/>
          <w:szCs w:val="32"/>
        </w:rPr>
        <w:t>城</w:t>
      </w:r>
      <w:r>
        <w:rPr>
          <w:rFonts w:hint="eastAsia" w:ascii="仿宋_GB2312" w:hAnsi="仿宋_GB2312" w:eastAsia="仿宋_GB2312" w:cs="仿宋_GB2312"/>
          <w:sz w:val="32"/>
          <w:szCs w:val="32"/>
        </w:rPr>
        <w:t>街建设规划，完善城市功能，改善城市环境，促进经济、文化发展，广州市花都区人民政府拟征收花都区花城街杨二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草弄经济合作社，杨二村经济联合社，杨二</w:t>
      </w:r>
      <w:r>
        <w:rPr>
          <w:rFonts w:ascii="仿宋_GB2312" w:hAnsi="仿宋_GB2312" w:eastAsia="仿宋_GB2312" w:cs="仿宋_GB2312"/>
          <w:sz w:val="32"/>
          <w:szCs w:val="32"/>
        </w:rPr>
        <w:t>村榕树经济合作社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旗星经济合作社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泗合经济合作社、榕树经济合作社、上头经济合作社、瓦窑经济合作社、旗星经济合作社、草弄经济合作社、邦和经济合作社、存心经济合作社、祥凤经济合作社（共有），杨二上头经济合作社、泗合经济合作社(共有)属下的集体土地</w:t>
      </w:r>
      <w:r>
        <w:rPr>
          <w:rFonts w:ascii="Times New Roman" w:hAnsi="Times New Roman" w:eastAsia="仿宋_GB2312" w:cs="Times New Roman"/>
          <w:sz w:val="32"/>
          <w:szCs w:val="32"/>
        </w:rPr>
        <w:t>14.8017</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市花都</w:t>
      </w:r>
      <w:r>
        <w:rPr>
          <w:rFonts w:hint="eastAsia" w:ascii="Times New Roman" w:hAnsi="Times New Roman" w:eastAsia="仿宋_GB2312" w:cs="Times New Roman"/>
          <w:bCs/>
          <w:sz w:val="32"/>
          <w:szCs w:val="32"/>
        </w:rPr>
        <w:t>区花城街</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草弄经济合作社，杨二村经济联合社，杨二</w:t>
      </w:r>
      <w:r>
        <w:rPr>
          <w:rFonts w:ascii="仿宋_GB2312" w:hAnsi="仿宋_GB2312" w:eastAsia="仿宋_GB2312" w:cs="仿宋_GB2312"/>
          <w:sz w:val="32"/>
          <w:szCs w:val="32"/>
        </w:rPr>
        <w:t>村榕树经济合作社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旗星经济合作社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泗合经济合作社、榕树经济合作社、上头经济合作社、瓦窑经济合作社、旗星经济合作社、草弄经济合作社、邦和经济合作社、存心经济合作社、祥凤经济合作社（共有），杨二上头经济合作社、泗合经济合作社(共有)</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拟征收花城街杨二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草弄经济合作社，杨二村经济联合社，杨二</w:t>
      </w:r>
      <w:r>
        <w:rPr>
          <w:rFonts w:ascii="仿宋_GB2312" w:hAnsi="仿宋_GB2312" w:eastAsia="仿宋_GB2312" w:cs="仿宋_GB2312"/>
          <w:sz w:val="32"/>
          <w:szCs w:val="32"/>
        </w:rPr>
        <w:t>村榕树经济合作社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旗星经济合作社</w:t>
      </w:r>
      <w:r>
        <w:rPr>
          <w:rFonts w:hint="eastAsia" w:ascii="仿宋_GB2312" w:hAnsi="仿宋_GB2312" w:eastAsia="仿宋_GB2312" w:cs="仿宋_GB2312"/>
          <w:sz w:val="32"/>
          <w:szCs w:val="32"/>
        </w:rPr>
        <w:t>，杨二</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泗合经济合作社、榕树经济合作社、上头经济合作社、瓦窑经济合作社、旗星经济合作社、草弄经济合作社、邦和经</w:t>
      </w:r>
      <w:r>
        <w:rPr>
          <w:rFonts w:ascii="Times New Roman" w:hAnsi="Times New Roman" w:eastAsia="仿宋_GB2312" w:cs="Times New Roman"/>
          <w:sz w:val="32"/>
          <w:szCs w:val="32"/>
        </w:rPr>
        <w:t>济合作社、存心经济合作社、祥凤经济合作社（共有），杨二上头经济合作社、泗合经济合作社(共有)集体所有土地14.8017公顷（222.0255亩）。其中农用地0.0789公顷（1.1835亩），不涉及耕地；</w:t>
      </w:r>
      <w:r>
        <w:rPr>
          <w:rFonts w:hint="eastAsia" w:ascii="Times New Roman" w:hAnsi="Times New Roman" w:eastAsia="仿宋_GB2312" w:cs="Times New Roman"/>
          <w:sz w:val="32"/>
          <w:szCs w:val="32"/>
        </w:rPr>
        <w:t>建设用地</w:t>
      </w:r>
      <w:r>
        <w:rPr>
          <w:rFonts w:ascii="Times New Roman" w:hAnsi="Times New Roman" w:eastAsia="仿宋_GB2312" w:cs="Times New Roman"/>
          <w:sz w:val="32"/>
          <w:szCs w:val="32"/>
        </w:rPr>
        <w:t>14.7228公顷（220.8420亩），不涉及未利用地。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根据</w:t>
      </w:r>
      <w:r>
        <w:rPr>
          <w:rFonts w:ascii="Times New Roman" w:hAnsi="Times New Roman" w:eastAsia="仿宋_GB2312" w:cs="Times New Roman"/>
          <w:sz w:val="32"/>
          <w:szCs w:val="32"/>
        </w:rPr>
        <w:t>《广东省自然资源厅关于广州市征收农用地区片综合地价成果的批复》（粤自然资函〔2021〕196号）的规定，农用地土地补偿标准为120万元/公顷，安置补助标准为120万元/公顷。建设用地和未利用地土地补偿标准为240万/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本次征地不涉及农村农民住宅补偿。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青苗及其他地上附着物补偿参照《广州市花都区人民政府办公室印发花都区片区征地包干补偿工作方案的通知》（花府办〔2016〕12号）的规定执行。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ascii="Times New Roman" w:hAnsi="Times New Roman" w:eastAsia="仿宋_GB2312" w:cs="Times New Roman"/>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w:t>
      </w:r>
      <w:r>
        <w:rPr>
          <w:rFonts w:ascii="Times New Roman" w:hAnsi="Times New Roman" w:eastAsia="仿宋_GB2312" w:cs="Times New Roman"/>
          <w:sz w:val="32"/>
          <w:szCs w:val="32"/>
        </w:rPr>
        <w:t>办〔2016〕30号）、《广州市人民政府办公厅关于进一步加强征收农村集体土地留用地管理的意见》（穗府办规〔2018〕17号）相关规定，按实际征</w:t>
      </w:r>
      <w:r>
        <w:rPr>
          <w:rFonts w:hint="eastAsia" w:ascii="仿宋_GB2312" w:hAnsi="仿宋_GB2312" w:eastAsia="仿宋_GB2312" w:cs="仿宋_GB2312"/>
          <w:sz w:val="32"/>
          <w:szCs w:val="32"/>
        </w:rPr>
        <w:t>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安排留用地，留用地兑现方式为实物留地，拟在地块外安排落实。</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w:t>
      </w:r>
      <w:r>
        <w:rPr>
          <w:rFonts w:ascii="Times New Roman" w:hAnsi="Times New Roman" w:eastAsia="仿宋_GB2312" w:cs="Times New Roman"/>
          <w:sz w:val="32"/>
          <w:szCs w:val="32"/>
        </w:rPr>
        <w:t>政策意见的通知》（粤府办〔2021〕22号）规定，核定该项目按2.14万元/亩的标准一次性将集体被征地农民养老保障资金存入“收缴被征地农民养老保障资金过渡户”，费用合计475.16万元，专款用于被征地农民缴纳养老保险费用。征地批准文件批复的实际范围有变</w:t>
      </w:r>
      <w:r>
        <w:rPr>
          <w:rFonts w:hint="eastAsia" w:ascii="仿宋_GB2312" w:hAnsi="仿宋_GB2312" w:eastAsia="仿宋_GB2312" w:cs="仿宋_GB2312"/>
          <w:sz w:val="32"/>
          <w:szCs w:val="32"/>
        </w:rPr>
        <w:t>化的，</w:t>
      </w:r>
      <w:r>
        <w:rPr>
          <w:rFonts w:hint="eastAsia" w:ascii="仿宋_GB2312" w:hAnsi="仿宋_GB2312" w:eastAsia="仿宋_GB2312" w:cs="仿宋_GB2312"/>
          <w:bCs/>
          <w:sz w:val="32"/>
          <w:szCs w:val="32"/>
        </w:rPr>
        <w:t>费用将做相应调整。</w:t>
      </w:r>
    </w:p>
    <w:p>
      <w:pPr>
        <w:numPr>
          <w:ilvl w:val="255"/>
          <w:numId w:val="0"/>
        </w:numPr>
        <w:spacing w:line="560" w:lineRule="exact"/>
        <w:ind w:firstLine="640" w:firstLineChars="200"/>
        <w:rPr>
          <w:rFonts w:ascii="仿宋_GB2312" w:hAnsi="仿宋_GB2312" w:eastAsia="仿宋_GB2312" w:cs="仿宋_GB2312"/>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广州市规划和自然资源局花都区分局</w:t>
      </w:r>
    </w:p>
    <w:p>
      <w:pPr>
        <w:spacing w:line="560" w:lineRule="exact"/>
        <w:jc w:val="right"/>
        <w:rPr>
          <w:rFonts w:ascii="Times New Roman" w:hAnsi="Times New Roman" w:cs="Times New Roman"/>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06C10"/>
    <w:rsid w:val="0003119D"/>
    <w:rsid w:val="001B02B5"/>
    <w:rsid w:val="00200876"/>
    <w:rsid w:val="002558D2"/>
    <w:rsid w:val="002746BC"/>
    <w:rsid w:val="002A7F57"/>
    <w:rsid w:val="002D24AF"/>
    <w:rsid w:val="00303EBB"/>
    <w:rsid w:val="003421ED"/>
    <w:rsid w:val="0037240A"/>
    <w:rsid w:val="00471C4D"/>
    <w:rsid w:val="00482A36"/>
    <w:rsid w:val="00562D9B"/>
    <w:rsid w:val="00615B01"/>
    <w:rsid w:val="00687A28"/>
    <w:rsid w:val="006C2C8D"/>
    <w:rsid w:val="00707784"/>
    <w:rsid w:val="00707DF8"/>
    <w:rsid w:val="007A32A8"/>
    <w:rsid w:val="0080466B"/>
    <w:rsid w:val="00822C1E"/>
    <w:rsid w:val="00834212"/>
    <w:rsid w:val="00874704"/>
    <w:rsid w:val="008951E3"/>
    <w:rsid w:val="00895815"/>
    <w:rsid w:val="008A5569"/>
    <w:rsid w:val="008C5537"/>
    <w:rsid w:val="008C6900"/>
    <w:rsid w:val="008D3AFC"/>
    <w:rsid w:val="00910818"/>
    <w:rsid w:val="00955FAC"/>
    <w:rsid w:val="0099068B"/>
    <w:rsid w:val="009E7B2E"/>
    <w:rsid w:val="00A23864"/>
    <w:rsid w:val="00A33F9C"/>
    <w:rsid w:val="00A87F64"/>
    <w:rsid w:val="00B94E7C"/>
    <w:rsid w:val="00BC45EA"/>
    <w:rsid w:val="00C3037F"/>
    <w:rsid w:val="00C8227E"/>
    <w:rsid w:val="00D118A4"/>
    <w:rsid w:val="00D61A55"/>
    <w:rsid w:val="00D84AC2"/>
    <w:rsid w:val="00D969F6"/>
    <w:rsid w:val="00DB3F68"/>
    <w:rsid w:val="00DB5EA5"/>
    <w:rsid w:val="00DF291D"/>
    <w:rsid w:val="00E24AFD"/>
    <w:rsid w:val="00EB5E1D"/>
    <w:rsid w:val="00EC5CF8"/>
    <w:rsid w:val="00ED4FBF"/>
    <w:rsid w:val="00F03DB5"/>
    <w:rsid w:val="00F56BF2"/>
    <w:rsid w:val="00F83BF8"/>
    <w:rsid w:val="00F936B6"/>
    <w:rsid w:val="00FB77D9"/>
    <w:rsid w:val="02A8420E"/>
    <w:rsid w:val="0A644753"/>
    <w:rsid w:val="171F6BA5"/>
    <w:rsid w:val="1F43736B"/>
    <w:rsid w:val="53D91D4F"/>
    <w:rsid w:val="5DC32B4F"/>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Words>
  <Characters>1557</Characters>
  <Lines>12</Lines>
  <Paragraphs>3</Paragraphs>
  <TotalTime>415</TotalTime>
  <ScaleCrop>false</ScaleCrop>
  <LinksUpToDate>false</LinksUpToDate>
  <CharactersWithSpaces>1827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dcterms:modified xsi:type="dcterms:W3CDTF">2023-09-19T01:58:01Z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