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关于广州市黄埔区（中新广州知识城）2023   年度第十六批次城镇建设用地项目被征地     农民养老保障方案</w:t>
      </w:r>
    </w:p>
    <w:p>
      <w:pPr>
        <w:rPr>
          <w:rFonts w:hint="default" w:ascii="Times New Roman" w:hAnsi="Times New Roman" w:eastAsia="仿宋_GB2312" w:cs="Times New Roman"/>
          <w:kern w:val="0"/>
          <w:szCs w:val="32"/>
        </w:rPr>
      </w:pPr>
    </w:p>
    <w:p>
      <w:pPr>
        <w:ind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000000"/>
          <w:kern w:val="0"/>
          <w:sz w:val="32"/>
          <w:szCs w:val="32"/>
          <w:shd w:val="clear" w:color="auto" w:fill="FFFFFF"/>
          <w:lang w:bidi="ar"/>
        </w:rPr>
        <w:t>依照</w:t>
      </w:r>
      <w:r>
        <w:rPr>
          <w:rFonts w:hint="default" w:ascii="Times New Roman" w:hAnsi="Times New Roman" w:eastAsia="仿宋_GB2312" w:cs="Times New Roman"/>
          <w:sz w:val="32"/>
          <w:szCs w:val="32"/>
        </w:rPr>
        <w:t>《中华人民共和国土地管理法》、</w:t>
      </w:r>
      <w:r>
        <w:rPr>
          <w:rFonts w:hint="default" w:ascii="Times New Roman" w:hAnsi="Times New Roman" w:eastAsia="仿宋_GB2312" w:cs="Times New Roman"/>
          <w:kern w:val="0"/>
          <w:sz w:val="32"/>
          <w:szCs w:val="32"/>
          <w:shd w:val="clear" w:color="auto" w:fill="FFFFFF"/>
          <w:lang w:bidi="ar"/>
        </w:rPr>
        <w:t>《关于切实做好被征地农民社会保障工作有关问题的通知》（</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广东省人民政府办公厅转发省人力资源社会保障厅关于进一步完善我省被征地农民养老保障工作意见的通知》（粤府办〔2021〕22号）第八条、《广州市人民政府办公厅关于印发广州市城乡居民养老保险实施办法的通知》（穗府办规〔2021〕8号）第九条等有关规定</w:t>
      </w:r>
      <w:r>
        <w:rPr>
          <w:rFonts w:hint="default" w:ascii="Times New Roman" w:hAnsi="Times New Roman" w:eastAsia="仿宋_GB2312" w:cs="Times New Roman"/>
          <w:kern w:val="0"/>
          <w:sz w:val="32"/>
          <w:szCs w:val="32"/>
        </w:rPr>
        <w:t>，拟定</w:t>
      </w:r>
      <w:r>
        <w:rPr>
          <w:rFonts w:hint="default" w:ascii="Times New Roman" w:hAnsi="Times New Roman" w:eastAsia="仿宋_GB2312" w:cs="Times New Roman"/>
          <w:sz w:val="32"/>
          <w:szCs w:val="32"/>
        </w:rPr>
        <w:t>广州市黄埔区（中新广州知识城）</w:t>
      </w:r>
      <w:r>
        <w:rPr>
          <w:rFonts w:hint="default" w:ascii="Times New Roman" w:hAnsi="Times New Roman" w:eastAsia="仿宋_GB2312" w:cs="Times New Roman"/>
          <w:sz w:val="32"/>
          <w:szCs w:val="32"/>
          <w:lang w:eastAsia="zh-CN"/>
        </w:rPr>
        <w:t>2023年度第十六批次</w:t>
      </w:r>
      <w:r>
        <w:rPr>
          <w:rFonts w:hint="default" w:ascii="Times New Roman" w:hAnsi="Times New Roman" w:eastAsia="仿宋_GB2312" w:cs="Times New Roman"/>
          <w:sz w:val="32"/>
          <w:szCs w:val="32"/>
        </w:rPr>
        <w:t>城镇建设用地被征地农民养老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广州市黄埔区（中新广州知识城）</w:t>
      </w:r>
      <w:r>
        <w:rPr>
          <w:rFonts w:hint="default" w:ascii="Times New Roman" w:hAnsi="Times New Roman" w:eastAsia="黑体" w:cs="Times New Roman"/>
          <w:sz w:val="32"/>
          <w:szCs w:val="32"/>
          <w:lang w:eastAsia="zh-CN"/>
        </w:rPr>
        <w:t>2023年度第十六批次</w:t>
      </w:r>
      <w:r>
        <w:rPr>
          <w:rFonts w:hint="default" w:ascii="Times New Roman" w:hAnsi="Times New Roman" w:eastAsia="黑体" w:cs="Times New Roman"/>
          <w:sz w:val="32"/>
          <w:szCs w:val="32"/>
        </w:rPr>
        <w:t>城镇建设</w:t>
      </w:r>
      <w:r>
        <w:rPr>
          <w:rFonts w:hint="default" w:ascii="Times New Roman" w:hAnsi="Times New Roman" w:eastAsia="黑体" w:cs="Times New Roman"/>
          <w:kern w:val="0"/>
          <w:sz w:val="32"/>
          <w:szCs w:val="32"/>
        </w:rPr>
        <w:t>用地涉及的被征地农民实施社会养老保障。</w:t>
      </w:r>
      <w:r>
        <w:rPr>
          <w:rFonts w:hint="default"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依据广州市规划和自然资源局黄埔区分局、广州开发区规划和自然资源局提供情况，该项目征地双方于2021年8月前全部完成征地补偿安置协议签订，按粤府办〔2021〕22号文第八点规定执行原征地社保政策。</w:t>
      </w:r>
    </w:p>
    <w:p>
      <w:pPr>
        <w:ind w:firstLine="640" w:firstLineChars="200"/>
        <w:jc w:val="left"/>
        <w:rPr>
          <w:rFonts w:hint="default" w:ascii="Times New Roman" w:hAnsi="Times New Roman" w:eastAsia="仿宋_GB2312" w:cs="Times New Roman"/>
          <w:kern w:val="0"/>
          <w:sz w:val="32"/>
          <w:szCs w:val="32"/>
          <w:highlight w:val="none"/>
          <w:shd w:val="clear" w:color="auto" w:fill="FFFFFF"/>
          <w:lang w:bidi="ar"/>
        </w:rPr>
      </w:pPr>
      <w:r>
        <w:rPr>
          <w:rFonts w:hint="default" w:ascii="Times New Roman" w:hAnsi="Times New Roman" w:eastAsia="黑体" w:cs="Times New Roman"/>
          <w:kern w:val="0"/>
          <w:sz w:val="32"/>
          <w:szCs w:val="32"/>
        </w:rPr>
        <w:t>二、</w:t>
      </w:r>
      <w:r>
        <w:rPr>
          <w:rFonts w:hint="default" w:ascii="Times New Roman" w:hAnsi="Times New Roman"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广州市黄埔区（中新广州知识城）</w:t>
      </w:r>
      <w:r>
        <w:rPr>
          <w:rFonts w:hint="default" w:ascii="Times New Roman" w:hAnsi="Times New Roman" w:eastAsia="仿宋_GB2312" w:cs="Times New Roman"/>
          <w:sz w:val="32"/>
          <w:szCs w:val="32"/>
          <w:lang w:eastAsia="zh-CN"/>
        </w:rPr>
        <w:t>2023年度第十六批次</w:t>
      </w:r>
      <w:r>
        <w:rPr>
          <w:rFonts w:hint="default" w:ascii="Times New Roman" w:hAnsi="Times New Roman" w:eastAsia="仿宋_GB2312" w:cs="Times New Roman"/>
          <w:sz w:val="32"/>
          <w:szCs w:val="32"/>
        </w:rPr>
        <w:t>城镇建设用地征用我区</w:t>
      </w:r>
      <w:r>
        <w:rPr>
          <w:rFonts w:hint="default" w:ascii="Times New Roman" w:hAnsi="Times New Roman" w:eastAsia="仿宋_GB2312" w:cs="Times New Roman"/>
          <w:sz w:val="32"/>
          <w:szCs w:val="32"/>
          <w:lang w:val="en-US" w:eastAsia="zh-CN"/>
        </w:rPr>
        <w:t>龙湖街何棠下村、埔心村、长庚村</w:t>
      </w:r>
      <w:r>
        <w:rPr>
          <w:rFonts w:hint="default" w:ascii="Times New Roman" w:hAnsi="Times New Roman" w:eastAsia="仿宋_GB2312" w:cs="Times New Roman"/>
          <w:color w:val="000000"/>
          <w:sz w:val="32"/>
          <w:szCs w:val="32"/>
          <w:lang w:bidi="ar"/>
        </w:rPr>
        <w:t>（其中：0亩属于被征地单位留用地），该项目涉及的被征地单位留用地按规定不计提征地社保费，其余被征土地涉及</w:t>
      </w:r>
      <w:r>
        <w:rPr>
          <w:rFonts w:hint="default" w:ascii="Times New Roman" w:hAnsi="Times New Roman" w:eastAsia="仿宋_GB2312" w:cs="Times New Roman"/>
          <w:kern w:val="0"/>
          <w:sz w:val="32"/>
          <w:szCs w:val="32"/>
          <w:shd w:val="clear" w:color="auto" w:fill="FFFFFF"/>
          <w:lang w:bidi="ar"/>
        </w:rPr>
        <w:t>应纳入养老保障范围的被征</w:t>
      </w:r>
      <w:r>
        <w:rPr>
          <w:rFonts w:hint="default" w:ascii="Times New Roman" w:hAnsi="Times New Roman" w:eastAsia="仿宋_GB2312" w:cs="Times New Roman"/>
          <w:kern w:val="0"/>
          <w:sz w:val="32"/>
          <w:szCs w:val="32"/>
          <w:highlight w:val="none"/>
          <w:shd w:val="clear" w:color="auto" w:fill="FFFFFF"/>
          <w:lang w:bidi="ar"/>
        </w:rPr>
        <w:t>地农民</w:t>
      </w:r>
      <w:r>
        <w:rPr>
          <w:rFonts w:hint="default" w:ascii="Times New Roman" w:hAnsi="Times New Roman" w:eastAsia="仿宋_GB2312" w:cs="Times New Roman"/>
          <w:sz w:val="32"/>
          <w:szCs w:val="32"/>
          <w:highlight w:val="none"/>
        </w:rPr>
        <w:t>共</w:t>
      </w:r>
      <w:r>
        <w:rPr>
          <w:rFonts w:hint="default" w:ascii="Times New Roman" w:hAnsi="Times New Roman" w:eastAsia="仿宋_GB2312" w:cs="Times New Roman"/>
          <w:sz w:val="32"/>
          <w:szCs w:val="32"/>
          <w:highlight w:val="none"/>
          <w:u w:val="none"/>
          <w:lang w:val="en-US" w:eastAsia="zh-CN"/>
        </w:rPr>
        <w:t>85</w:t>
      </w:r>
      <w:r>
        <w:rPr>
          <w:rFonts w:hint="default" w:ascii="Times New Roman" w:hAnsi="Times New Roman" w:eastAsia="仿宋_GB2312" w:cs="Times New Roman"/>
          <w:sz w:val="32"/>
          <w:szCs w:val="32"/>
          <w:highlight w:val="none"/>
        </w:rPr>
        <w:t>人。具体</w:t>
      </w:r>
      <w:r>
        <w:rPr>
          <w:rFonts w:hint="default" w:ascii="Times New Roman"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default" w:ascii="Times New Roman" w:hAnsi="Times New Roman" w:eastAsia="仿宋_GB2312" w:cs="Times New Roman"/>
          <w:kern w:val="0"/>
          <w:sz w:val="32"/>
          <w:szCs w:val="32"/>
          <w:highlight w:val="none"/>
          <w:shd w:val="clear" w:color="auto" w:fill="FFFFFF"/>
          <w:lang w:val="en-US" w:eastAsia="zh-CN" w:bidi="ar"/>
        </w:rPr>
        <w:t>龙湖街道办事处</w:t>
      </w:r>
      <w:r>
        <w:rPr>
          <w:rFonts w:hint="default" w:ascii="Times New Roman" w:hAnsi="Times New Roman" w:eastAsia="仿宋_GB2312" w:cs="Times New Roman"/>
          <w:kern w:val="0"/>
          <w:sz w:val="32"/>
          <w:szCs w:val="32"/>
          <w:highlight w:val="none"/>
          <w:shd w:val="clear" w:color="auto" w:fill="FFFFFF"/>
          <w:lang w:bidi="ar"/>
        </w:rPr>
        <w:t>核准、公示后确定，送所属社会保险经办部门办理相关社保手续。按规定，在项目依法获得用地获批后三个月内落实征地社保费分配到人</w:t>
      </w:r>
      <w:r>
        <w:rPr>
          <w:rFonts w:hint="default" w:ascii="Times New Roman" w:hAnsi="Times New Roman" w:eastAsia="仿宋_GB2312" w:cs="Times New Roman"/>
          <w:kern w:val="0"/>
          <w:sz w:val="32"/>
          <w:szCs w:val="32"/>
          <w:highlight w:val="none"/>
          <w:shd w:val="clear" w:color="auto" w:fill="FFFFFF"/>
          <w:lang w:eastAsia="zh-CN" w:bidi="ar"/>
        </w:rPr>
        <w:t>、</w:t>
      </w:r>
      <w:r>
        <w:rPr>
          <w:rFonts w:hint="default" w:ascii="Times New Roman" w:hAnsi="Times New Roman" w:eastAsia="仿宋_GB2312" w:cs="Times New Roman"/>
          <w:kern w:val="0"/>
          <w:sz w:val="32"/>
          <w:szCs w:val="32"/>
          <w:highlight w:val="none"/>
          <w:shd w:val="clear" w:color="auto" w:fill="FFFFFF"/>
          <w:lang w:bidi="ar"/>
        </w:rPr>
        <w:t>落实参保。</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highlight w:val="none"/>
          <w:shd w:val="clear" w:color="auto" w:fill="FFFFFF"/>
        </w:rPr>
        <w:t>三、征地社保费筹集</w:t>
      </w:r>
      <w:r>
        <w:rPr>
          <w:rFonts w:hint="default" w:ascii="Times New Roman" w:hAnsi="Times New Roman" w:eastAsia="黑体" w:cs="Times New Roman"/>
          <w:kern w:val="0"/>
          <w:sz w:val="32"/>
          <w:szCs w:val="32"/>
          <w:highlight w:val="none"/>
        </w:rPr>
        <w:t>。</w:t>
      </w:r>
      <w:r>
        <w:rPr>
          <w:rFonts w:hint="default" w:ascii="Times New Roman" w:hAnsi="Times New Roman" w:eastAsia="仿宋_GB2312" w:cs="Times New Roman"/>
          <w:color w:val="000000"/>
          <w:kern w:val="0"/>
          <w:sz w:val="32"/>
          <w:szCs w:val="32"/>
          <w:highlight w:val="none"/>
          <w:shd w:val="clear" w:color="auto" w:fill="FFFFFF"/>
          <w:lang w:bidi="ar"/>
        </w:rPr>
        <w:t>征地主体（用</w:t>
      </w:r>
      <w:r>
        <w:rPr>
          <w:rFonts w:hint="default" w:ascii="Times New Roman" w:hAnsi="Times New Roman" w:eastAsia="仿宋_GB2312" w:cs="Times New Roman"/>
          <w:color w:val="000000"/>
          <w:kern w:val="0"/>
          <w:sz w:val="32"/>
          <w:szCs w:val="32"/>
          <w:highlight w:val="none"/>
          <w:shd w:val="clear" w:color="auto" w:fill="FFFFFF"/>
          <w:lang w:val="en-US" w:eastAsia="zh-CN" w:bidi="ar"/>
        </w:rPr>
        <w:t>地</w:t>
      </w:r>
      <w:r>
        <w:rPr>
          <w:rFonts w:hint="default"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单位）按每人16200元的标准和应纳入养老保障范围的被征地农民人数，将所需资金共</w:t>
      </w:r>
      <w:r>
        <w:rPr>
          <w:rFonts w:hint="default" w:ascii="Times New Roman" w:hAnsi="Times New Roman" w:eastAsia="仿宋_GB2312" w:cs="Times New Roman"/>
          <w:color w:val="000000"/>
          <w:kern w:val="0"/>
          <w:sz w:val="32"/>
          <w:szCs w:val="32"/>
          <w:highlight w:val="none"/>
          <w:u w:val="none"/>
          <w:shd w:val="clear" w:color="auto" w:fill="FFFFFF"/>
          <w:lang w:val="en-US" w:eastAsia="zh-CN" w:bidi="ar"/>
        </w:rPr>
        <w:t>137.70</w:t>
      </w:r>
      <w:r>
        <w:rPr>
          <w:rFonts w:hint="default" w:ascii="Times New Roman" w:hAnsi="Times New Roman" w:eastAsia="仿宋_GB2312" w:cs="Times New Roman"/>
          <w:color w:val="000000"/>
          <w:kern w:val="0"/>
          <w:sz w:val="32"/>
          <w:szCs w:val="32"/>
          <w:highlight w:val="none"/>
          <w:shd w:val="clear" w:color="auto" w:fill="FFFFFF"/>
          <w:lang w:bidi="ar"/>
        </w:rPr>
        <w:t>万</w:t>
      </w:r>
      <w:r>
        <w:rPr>
          <w:rFonts w:hint="default"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hint="default"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hint="default" w:ascii="Times New Roman" w:hAnsi="Times New Roman" w:eastAsia="仿宋_GB2312" w:cs="Times New Roman"/>
          <w:sz w:val="32"/>
          <w:szCs w:val="32"/>
        </w:rPr>
      </w:pPr>
    </w:p>
    <w:p>
      <w:pPr>
        <w:shd w:val="clear" w:color="auto" w:fill="FFFFFF"/>
        <w:spacing w:line="540" w:lineRule="exact"/>
        <w:ind w:firstLine="611" w:firstLineChars="19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附</w:t>
      </w:r>
      <w:r>
        <w:rPr>
          <w:rFonts w:hint="default" w:ascii="Times New Roman" w:hAnsi="Times New Roman" w:eastAsia="黑体" w:cs="Times New Roman"/>
          <w:kern w:val="32"/>
          <w:sz w:val="32"/>
          <w:szCs w:val="32"/>
          <w:lang w:eastAsia="zh-CN"/>
        </w:rPr>
        <w:t>表</w:t>
      </w:r>
      <w:r>
        <w:rPr>
          <w:rFonts w:hint="default" w:ascii="Times New Roman" w:hAnsi="Times New Roman" w:eastAsia="黑体" w:cs="Times New Roman"/>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单位：亩、人、万元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1845"/>
        <w:gridCol w:w="1020"/>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343" w:type="dxa"/>
            <w:gridSpan w:val="2"/>
            <w:vMerge w:val="restart"/>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20" w:type="dxa"/>
            <w:gridSpan w:val="4"/>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343" w:type="dxa"/>
            <w:gridSpan w:val="2"/>
            <w:vMerge w:val="continue"/>
            <w:shd w:val="clear" w:color="auto" w:fill="auto"/>
            <w:noWrap w:val="0"/>
            <w:vAlign w:val="center"/>
          </w:tcPr>
          <w:p>
            <w:pPr>
              <w:spacing w:line="320" w:lineRule="exact"/>
              <w:jc w:val="center"/>
              <w:rPr>
                <w:rFonts w:hint="default" w:ascii="Times New Roman" w:hAnsi="Times New Roman" w:eastAsia="仿宋_GB2312" w:cs="Times New Roman"/>
                <w:sz w:val="24"/>
              </w:rPr>
            </w:pPr>
          </w:p>
        </w:tc>
        <w:tc>
          <w:tcPr>
            <w:tcW w:w="1020" w:type="dxa"/>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noWrap w:val="0"/>
            <w:vAlign w:val="center"/>
          </w:tcPr>
          <w:p>
            <w:pPr>
              <w:spacing w:line="320" w:lineRule="exact"/>
              <w:jc w:val="center"/>
              <w:rPr>
                <w:rFonts w:hint="default" w:ascii="Times New Roman" w:hAnsi="Times New Roman" w:eastAsia="仿宋_GB2312" w:cs="Times New Roman"/>
                <w:sz w:val="24"/>
              </w:rPr>
            </w:pPr>
          </w:p>
        </w:tc>
        <w:tc>
          <w:tcPr>
            <w:tcW w:w="833" w:type="dxa"/>
            <w:vMerge w:val="continue"/>
            <w:noWrap w:val="0"/>
            <w:vAlign w:val="center"/>
          </w:tcPr>
          <w:p>
            <w:pPr>
              <w:spacing w:line="320" w:lineRule="exact"/>
              <w:jc w:val="center"/>
              <w:rPr>
                <w:rFonts w:hint="default" w:ascii="Times New Roman" w:hAnsi="Times New Roman" w:eastAsia="仿宋_GB2312" w:cs="Times New Roman"/>
                <w:sz w:val="24"/>
              </w:rPr>
            </w:pPr>
          </w:p>
        </w:tc>
        <w:tc>
          <w:tcPr>
            <w:tcW w:w="1135" w:type="dxa"/>
            <w:vMerge w:val="continue"/>
            <w:noWrap w:val="0"/>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8" w:type="dxa"/>
            <w:vMerge w:val="restart"/>
            <w:shd w:val="clear" w:color="auto" w:fill="FFFFFF"/>
            <w:noWrap w:val="0"/>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龙湖街</w:t>
            </w:r>
          </w:p>
          <w:p>
            <w:pPr>
              <w:spacing w:line="360" w:lineRule="exact"/>
              <w:jc w:val="both"/>
              <w:rPr>
                <w:rFonts w:hint="default" w:ascii="Times New Roman" w:hAnsi="Times New Roman" w:eastAsia="仿宋_GB2312" w:cs="Times New Roman"/>
                <w:sz w:val="24"/>
              </w:rPr>
            </w:pPr>
          </w:p>
        </w:tc>
        <w:tc>
          <w:tcPr>
            <w:tcW w:w="1845" w:type="dxa"/>
            <w:shd w:val="clear" w:color="auto" w:fill="FFFFFF"/>
            <w:noWrap w:val="0"/>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何棠下村经济联合社</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118.5825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118.1940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0.3885 </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eastAsia="zh-CN"/>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25</w:t>
            </w:r>
          </w:p>
        </w:tc>
        <w:tc>
          <w:tcPr>
            <w:tcW w:w="1135"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0"/>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noWrap w:val="0"/>
            <w:vAlign w:val="center"/>
          </w:tcPr>
          <w:p>
            <w:pPr>
              <w:spacing w:line="36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val="en-US" w:eastAsia="zh-CN"/>
              </w:rPr>
              <w:t>埔心村第一经济合作社</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5.3235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5.3235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eastAsia="zh-CN"/>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2</w:t>
            </w:r>
          </w:p>
        </w:tc>
        <w:tc>
          <w:tcPr>
            <w:tcW w:w="1135"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0"/>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noWrap w:val="0"/>
            <w:vAlign w:val="center"/>
          </w:tcPr>
          <w:p>
            <w:pPr>
              <w:spacing w:line="36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val="en-US" w:eastAsia="zh-CN"/>
              </w:rPr>
              <w:t>埔心村第二经济合作社</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12.4290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12.4290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3</w:t>
            </w:r>
          </w:p>
        </w:tc>
        <w:tc>
          <w:tcPr>
            <w:tcW w:w="1135"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0"/>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noWrap w:val="0"/>
            <w:vAlign w:val="center"/>
          </w:tcPr>
          <w:p>
            <w:pPr>
              <w:spacing w:line="36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val="en-US" w:eastAsia="zh-CN"/>
              </w:rPr>
              <w:t>埔心村第三经济合作社</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8.5755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8.5755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2</w:t>
            </w:r>
          </w:p>
        </w:tc>
        <w:tc>
          <w:tcPr>
            <w:tcW w:w="1135"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0"/>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noWrap w:val="0"/>
            <w:vAlign w:val="center"/>
          </w:tcPr>
          <w:p>
            <w:pPr>
              <w:spacing w:line="36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val="en-US" w:eastAsia="zh-CN"/>
              </w:rPr>
              <w:t>埔心村第五经济合作社</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52.1415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52.1400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0.0015 </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12</w:t>
            </w:r>
          </w:p>
        </w:tc>
        <w:tc>
          <w:tcPr>
            <w:tcW w:w="1135"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0"/>
            <w:vAlign w:val="center"/>
          </w:tcPr>
          <w:p>
            <w:pPr>
              <w:spacing w:line="360" w:lineRule="exact"/>
              <w:jc w:val="center"/>
              <w:rPr>
                <w:rFonts w:hint="default" w:ascii="Times New Roman" w:hAnsi="Times New Roman" w:eastAsia="仿宋_GB2312" w:cs="Times New Roman"/>
                <w:sz w:val="24"/>
                <w:lang w:val="en-US" w:eastAsia="zh-CN"/>
              </w:rPr>
            </w:pPr>
          </w:p>
        </w:tc>
        <w:tc>
          <w:tcPr>
            <w:tcW w:w="1845" w:type="dxa"/>
            <w:shd w:val="clear" w:color="auto" w:fill="FFFFFF"/>
            <w:noWrap w:val="0"/>
            <w:vAlign w:val="center"/>
          </w:tcPr>
          <w:p>
            <w:pPr>
              <w:spacing w:line="36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val="en-US" w:eastAsia="zh-CN"/>
              </w:rPr>
              <w:t>埔心村第六经济合作社</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159.1545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159.1425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0.0120 </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33</w:t>
            </w:r>
          </w:p>
        </w:tc>
        <w:tc>
          <w:tcPr>
            <w:tcW w:w="1135"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53.46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0"/>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noWrap w:val="0"/>
            <w:vAlign w:val="center"/>
          </w:tcPr>
          <w:p>
            <w:pPr>
              <w:spacing w:line="36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val="en-US" w:eastAsia="zh-CN"/>
              </w:rPr>
              <w:t>埔心村经济联合社</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32.3670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32.3670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0</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7</w:t>
            </w:r>
          </w:p>
        </w:tc>
        <w:tc>
          <w:tcPr>
            <w:tcW w:w="1135"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0"/>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noWrap w:val="0"/>
            <w:vAlign w:val="center"/>
          </w:tcPr>
          <w:p>
            <w:pPr>
              <w:spacing w:line="36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val="en-US" w:eastAsia="zh-CN"/>
              </w:rPr>
              <w:t>长庚村经济联合社</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6.6150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6.6150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0</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1</w:t>
            </w:r>
          </w:p>
        </w:tc>
        <w:tc>
          <w:tcPr>
            <w:tcW w:w="1135" w:type="dxa"/>
            <w:shd w:val="clear" w:color="auto" w:fill="FFFFFF"/>
            <w:noWrap w:val="0"/>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343" w:type="dxa"/>
            <w:gridSpan w:val="2"/>
            <w:shd w:val="clear" w:color="auto" w:fill="FFFFFF"/>
            <w:noWrap w:val="0"/>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2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395.1885 </w:t>
            </w:r>
          </w:p>
        </w:tc>
        <w:tc>
          <w:tcPr>
            <w:tcW w:w="100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394.7865 </w:t>
            </w:r>
          </w:p>
        </w:tc>
        <w:tc>
          <w:tcPr>
            <w:tcW w:w="9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0.4020 </w:t>
            </w:r>
          </w:p>
        </w:tc>
        <w:tc>
          <w:tcPr>
            <w:tcW w:w="78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0 </w:t>
            </w:r>
          </w:p>
        </w:tc>
        <w:tc>
          <w:tcPr>
            <w:tcW w:w="118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bookmarkStart w:id="0" w:name="_GoBack"/>
            <w:bookmarkEnd w:id="0"/>
            <w:r>
              <w:rPr>
                <w:rFonts w:hint="default" w:ascii="Times New Roman" w:hAnsi="Times New Roman" w:eastAsia="宋体" w:cs="Times New Roman"/>
                <w:b/>
                <w:bCs/>
                <w:i w:val="0"/>
                <w:iCs w:val="0"/>
                <w:color w:val="000000"/>
                <w:kern w:val="0"/>
                <w:sz w:val="22"/>
                <w:szCs w:val="22"/>
                <w:u w:val="none"/>
                <w:lang w:val="en-US" w:eastAsia="zh-CN" w:bidi="ar"/>
              </w:rPr>
              <w:t>0</w:t>
            </w:r>
          </w:p>
        </w:tc>
        <w:tc>
          <w:tcPr>
            <w:tcW w:w="833" w:type="dxa"/>
            <w:shd w:val="clear" w:color="auto" w:fill="FFFFFF"/>
            <w:noWrap w:val="0"/>
            <w:vAlign w:val="center"/>
          </w:tcPr>
          <w:p>
            <w:pPr>
              <w:widowControl/>
              <w:jc w:val="center"/>
              <w:textAlignment w:val="center"/>
              <w:rPr>
                <w:rFonts w:hint="default" w:ascii="Times New Roman" w:hAnsi="Times New Roman" w:cs="Times New Roman"/>
                <w:b/>
                <w:bCs/>
                <w:sz w:val="22"/>
                <w:szCs w:val="22"/>
                <w:highlight w:val="none"/>
                <w:lang w:val="en-US" w:eastAsia="zh-CN"/>
              </w:rPr>
            </w:pPr>
            <w:r>
              <w:rPr>
                <w:rFonts w:hint="default" w:ascii="Times New Roman" w:hAnsi="Times New Roman" w:cs="Times New Roman"/>
                <w:b/>
                <w:bCs/>
                <w:sz w:val="22"/>
                <w:szCs w:val="22"/>
                <w:highlight w:val="none"/>
                <w:lang w:val="en-US" w:eastAsia="zh-CN"/>
              </w:rPr>
              <w:t>85</w:t>
            </w:r>
          </w:p>
        </w:tc>
        <w:tc>
          <w:tcPr>
            <w:tcW w:w="1135" w:type="dxa"/>
            <w:shd w:val="clear" w:color="auto" w:fill="FFFFFF"/>
            <w:noWrap w:val="0"/>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default" w:ascii="Times New Roman" w:hAnsi="Times New Roman" w:eastAsia="仿宋_GB2312" w:cs="Times New Roman"/>
                <w:b/>
                <w:bCs/>
                <w:sz w:val="22"/>
                <w:szCs w:val="22"/>
                <w:highlight w:val="none"/>
                <w:lang w:val="en-US" w:eastAsia="zh-CN"/>
              </w:rPr>
              <w:t>137.70</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sectPr>
      <w:pgSz w:w="11906" w:h="16838"/>
      <w:pgMar w:top="1417" w:right="1474"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E4E47"/>
    <w:rsid w:val="21CE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2023-09-26T07:39:00Z</dcterms:created>
  <dc:creator>陈颖</dc:creator>
  <cp:lastModifiedBy>陈颖</cp:lastModifiedBy>
  <dcterms:modified xsi:type="dcterms:W3CDTF">2023-09-26T07:39:20Z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44552773B6194A16A0BBBEED9F8A0750</vt:lpwstr>
  </property>
</Properties>
</file>