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hint="eastAsia" w:eastAsia="方正小标宋简体"/>
          <w:sz w:val="44"/>
          <w:szCs w:val="44"/>
          <w:lang w:val="en-US" w:eastAsia="zh-CN"/>
        </w:rPr>
      </w:pPr>
      <w:r>
        <w:rPr>
          <w:rFonts w:hint="eastAsia" w:eastAsia="方正小标宋简体"/>
          <w:sz w:val="44"/>
          <w:szCs w:val="44"/>
          <w:lang w:val="en-US" w:eastAsia="zh-CN"/>
        </w:rPr>
        <w:tab/>
      </w:r>
    </w:p>
    <w:p>
      <w:pPr>
        <w:autoSpaceDE/>
        <w:autoSpaceDN/>
        <w:spacing w:before="0" w:after="0" w:line="580" w:lineRule="exact"/>
        <w:ind w:right="0"/>
        <w:jc w:val="right"/>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eastAsia="zh-CN"/>
        </w:rPr>
        <w:t>粤府土审（</w:t>
      </w:r>
      <w:r>
        <w:rPr>
          <w:rFonts w:hint="eastAsia" w:ascii="Times New Roman" w:hAnsi="Times New Roman" w:eastAsia="仿宋_GB2312" w:cs="Times New Roman"/>
          <w:kern w:val="2"/>
          <w:sz w:val="32"/>
          <w:szCs w:val="32"/>
          <w:lang w:val="en-US" w:eastAsia="zh-CN"/>
        </w:rPr>
        <w:t>02</w:t>
      </w:r>
      <w:r>
        <w:rPr>
          <w:rFonts w:hint="eastAsia" w:ascii="Times New Roman" w:hAnsi="Times New Roman" w:eastAsia="仿宋_GB2312" w:cs="Times New Roman"/>
          <w:kern w:val="2"/>
          <w:sz w:val="32"/>
          <w:szCs w:val="32"/>
          <w:lang w:eastAsia="zh-CN"/>
        </w:rPr>
        <w:t>）〔202</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113号</w:t>
      </w:r>
    </w:p>
    <w:p>
      <w:pPr>
        <w:pStyle w:val="3"/>
        <w:spacing w:before="6"/>
        <w:rPr>
          <w:sz w:val="52"/>
        </w:rPr>
      </w:pPr>
    </w:p>
    <w:p>
      <w:pPr>
        <w:autoSpaceDE/>
        <w:autoSpaceDN/>
        <w:spacing w:before="0" w:after="0" w:line="580" w:lineRule="exact"/>
        <w:ind w:left="0" w:right="0"/>
        <w:jc w:val="center"/>
        <w:rPr>
          <w:rFonts w:hint="eastAsia" w:ascii="Times New Roman" w:hAnsi="Times New Roman" w:eastAsia="方正小标宋简体" w:cs="Times New Roman"/>
          <w:kern w:val="2"/>
          <w:sz w:val="44"/>
          <w:szCs w:val="44"/>
          <w:lang w:eastAsia="zh-CN"/>
        </w:rPr>
      </w:pPr>
      <w:r>
        <w:rPr>
          <w:rFonts w:hint="eastAsia" w:ascii="Times New Roman" w:hAnsi="Times New Roman" w:eastAsia="方正小标宋简体" w:cs="Times New Roman"/>
          <w:kern w:val="2"/>
          <w:sz w:val="44"/>
          <w:szCs w:val="44"/>
          <w:lang w:eastAsia="zh-CN"/>
        </w:rPr>
        <w:t>广东省人民政府关</w:t>
      </w:r>
      <w:r>
        <w:rPr>
          <w:rFonts w:hint="eastAsia" w:ascii="Times New Roman" w:hAnsi="Times New Roman" w:eastAsia="方正小标宋简体" w:cs="Times New Roman"/>
          <w:kern w:val="2"/>
          <w:sz w:val="44"/>
          <w:szCs w:val="44"/>
          <w:lang w:val="en-US" w:eastAsia="zh-CN"/>
        </w:rPr>
        <w:t>于</w:t>
      </w:r>
      <w:r>
        <w:rPr>
          <w:rFonts w:hint="eastAsia" w:ascii="Times New Roman" w:hAnsi="Times New Roman" w:eastAsia="方正小标宋简体" w:cs="Times New Roman"/>
          <w:kern w:val="2"/>
          <w:sz w:val="44"/>
          <w:szCs w:val="44"/>
          <w:lang w:eastAsia="zh-CN"/>
        </w:rPr>
        <w:t>广州市花都区2022 年度</w:t>
      </w:r>
    </w:p>
    <w:p>
      <w:pPr>
        <w:autoSpaceDE/>
        <w:autoSpaceDN/>
        <w:spacing w:before="0" w:after="0" w:line="580" w:lineRule="exact"/>
        <w:ind w:left="0" w:right="0"/>
        <w:jc w:val="center"/>
        <w:rPr>
          <w:rFonts w:hint="eastAsia" w:ascii="Times New Roman" w:hAnsi="Times New Roman" w:eastAsia="方正小标宋简体" w:cs="Times New Roman"/>
          <w:kern w:val="2"/>
          <w:sz w:val="44"/>
          <w:szCs w:val="44"/>
          <w:lang w:eastAsia="zh-CN"/>
        </w:rPr>
      </w:pPr>
      <w:r>
        <w:rPr>
          <w:rFonts w:hint="eastAsia" w:ascii="Times New Roman" w:hAnsi="Times New Roman" w:eastAsia="方正小标宋简体" w:cs="Times New Roman"/>
          <w:kern w:val="2"/>
          <w:sz w:val="44"/>
          <w:szCs w:val="44"/>
          <w:lang w:eastAsia="zh-CN"/>
        </w:rPr>
        <w:t>第三十六批次城镇建设用地的批复</w:t>
      </w:r>
    </w:p>
    <w:p>
      <w:pPr>
        <w:autoSpaceDE/>
        <w:autoSpaceDN/>
        <w:spacing w:before="0" w:after="0" w:line="560" w:lineRule="exact"/>
        <w:ind w:left="0" w:right="0"/>
        <w:jc w:val="center"/>
        <w:rPr>
          <w:rFonts w:ascii="Times New Roman" w:hAnsi="Times New Roman" w:eastAsia="仿宋_GB2312" w:cs="Times New Roman"/>
          <w:kern w:val="2"/>
          <w:sz w:val="44"/>
          <w:szCs w:val="44"/>
          <w:lang w:eastAsia="zh-CN" w:bidi="ar"/>
        </w:rPr>
      </w:pPr>
    </w:p>
    <w:p>
      <w:pPr>
        <w:autoSpaceDE/>
        <w:autoSpaceDN/>
        <w:spacing w:before="0" w:after="0" w:line="560" w:lineRule="exact"/>
        <w:ind w:left="0" w:right="0"/>
        <w:jc w:val="center"/>
        <w:rPr>
          <w:rFonts w:ascii="Times New Roman" w:hAnsi="Times New Roman" w:eastAsia="仿宋_GB2312" w:cs="Times New Roman"/>
          <w:kern w:val="2"/>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广州市人民政府：</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220" w:rightChars="-10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eastAsia="zh-CN"/>
        </w:rPr>
        <w:t>《广州市规划和自然资源局关于审批广州市花都区 2022 年度第三十六批次城镇建设用地的请示》（穗规划资源（用地）报〔202</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lang w:eastAsia="zh-CN"/>
        </w:rPr>
        <w:t>〕186号）、</w:t>
      </w:r>
      <w:r>
        <w:rPr>
          <w:rFonts w:hint="eastAsia" w:ascii="Times New Roman" w:hAns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eastAsia="zh-CN"/>
        </w:rPr>
        <w:t>《广州市花都区人民政府关于申请广州市花都区</w:t>
      </w:r>
      <w:r>
        <w:rPr>
          <w:rFonts w:hint="eastAsia" w:ascii="Times New Roman" w:hAnsi="Times New Roman" w:eastAsia="仿宋_GB2312" w:cs="Times New Roman"/>
          <w:kern w:val="2"/>
          <w:sz w:val="32"/>
          <w:szCs w:val="32"/>
          <w:lang w:val="en-US" w:eastAsia="zh-CN"/>
        </w:rPr>
        <w:t>2022年度第三十六批次城镇建设用地土地征收的请示</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（花府字</w:t>
      </w:r>
      <w:r>
        <w:rPr>
          <w:rFonts w:hint="eastAsia" w:ascii="Times New Roman" w:hAnsi="Times New Roman" w:eastAsia="仿宋_GB2312" w:cs="Times New Roman"/>
          <w:kern w:val="2"/>
          <w:sz w:val="32"/>
          <w:szCs w:val="32"/>
          <w:lang w:eastAsia="zh-CN"/>
        </w:rPr>
        <w:t>〔202</w:t>
      </w:r>
      <w:r>
        <w:rPr>
          <w:rFonts w:hint="eastAsia" w:ascii="Times New Roman" w:hAnsi="Times New Roman" w:eastAsia="仿宋_GB2312" w:cs="Times New Roman"/>
          <w:kern w:val="2"/>
          <w:sz w:val="32"/>
          <w:szCs w:val="32"/>
          <w:lang w:val="en-US" w:eastAsia="zh-CN"/>
        </w:rPr>
        <w:t>3</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53</w:t>
      </w:r>
      <w:r>
        <w:rPr>
          <w:rFonts w:hint="eastAsia" w:ascii="Times New Roman" w:hAnsi="Times New Roman" w:eastAsia="仿宋_GB2312" w:cs="Times New Roman"/>
          <w:kern w:val="2"/>
          <w:sz w:val="32"/>
          <w:szCs w:val="32"/>
          <w:lang w:eastAsia="zh-CN"/>
        </w:rPr>
        <w:t>号</w:t>
      </w:r>
      <w:r>
        <w:rPr>
          <w:rFonts w:hint="eastAsia" w:ascii="Times New Roman" w:hAnsi="Times New Roman" w:eastAsia="仿宋_GB2312" w:cs="Times New Roman"/>
          <w:kern w:val="2"/>
          <w:sz w:val="32"/>
          <w:szCs w:val="32"/>
          <w:lang w:val="en-US" w:eastAsia="zh-CN"/>
        </w:rPr>
        <w:t>）及相关材料已通过审核。根据《中华人民共和国土地管理法》第四十四、四十五、四十六条，批复如下：</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220" w:rightChars="-100"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一、同意使用0.7048公顷城镇建设用地，即同意你市将花都区秀全街道乐同村石陂经济合作社属下的集体农用地0.6674公顷（其中耕地 0.3229公顷）转为建设用地，同时使用上述有关村集体建设用地0.0374公顷</w:t>
      </w:r>
      <w:r>
        <w:rPr>
          <w:rFonts w:hint="eastAsia" w:ascii="仿宋_GB2312" w:hAnsi="仿宋_GB2312" w:eastAsia="仿宋_GB2312" w:cs="仿宋_GB2312"/>
          <w:kern w:val="2"/>
          <w:sz w:val="32"/>
          <w:szCs w:val="32"/>
          <w:lang w:val="en-US" w:eastAsia="zh-CN"/>
        </w:rPr>
        <w:t>,</w:t>
      </w:r>
      <w:r>
        <w:rPr>
          <w:rFonts w:hint="eastAsia" w:ascii="Times New Roman" w:hAns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eastAsia="zh-CN"/>
        </w:rPr>
        <w:t>以上合计0.7048公顷集体土地一并办理征地手续。上述土地（合计0.7048公顷）经完善相关手续后由当地人民政府按照土地利用总体规划和城乡规划确定的用途供应。</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left="0" w:right="-220" w:rightChars="-100" w:firstLine="640" w:firstLineChars="200"/>
        <w:jc w:val="both"/>
        <w:textAlignment w:val="auto"/>
        <w:rPr>
          <w:rFonts w:hint="eastAsia" w:ascii="Times New Roman" w:hAnsi="Times New Roman" w:eastAsia="仿宋_GB2312" w:cs="Times New Roman"/>
          <w:kern w:val="2"/>
          <w:sz w:val="32"/>
          <w:szCs w:val="32"/>
          <w:lang w:eastAsia="zh-CN"/>
        </w:rPr>
        <w:sectPr>
          <w:pgSz w:w="11920" w:h="16850"/>
          <w:pgMar w:top="2098" w:right="1474" w:bottom="1984" w:left="1587" w:header="720" w:footer="720" w:gutter="0"/>
          <w:cols w:space="720" w:num="1"/>
        </w:sectPr>
      </w:pPr>
      <w:r>
        <w:rPr>
          <w:rFonts w:hint="eastAsia" w:ascii="Times New Roman" w:hAnsi="Times New Roman" w:eastAsia="仿宋_GB2312" w:cs="Times New Roman"/>
          <w:kern w:val="2"/>
          <w:sz w:val="32"/>
          <w:szCs w:val="32"/>
          <w:lang w:eastAsia="zh-CN"/>
        </w:rPr>
        <w:t>二、请你市人民政府负责落实补充耕地。督促补充耕地责任单位认真落实耕地占补平衡，补充数量相等、质量相当的耕地，对应核销耕地数量、水田规模和标准粮食产能指标（确认信息编</w:t>
      </w:r>
    </w:p>
    <w:p>
      <w:pPr>
        <w:keepNext w:val="0"/>
        <w:keepLines w:val="0"/>
        <w:pageBreakBefore w:val="0"/>
        <w:widowControl w:val="0"/>
        <w:kinsoku/>
        <w:wordWrap/>
        <w:overflowPunct/>
        <w:topLinePunct w:val="0"/>
        <w:autoSpaceDE w:val="0"/>
        <w:autoSpaceDN w:val="0"/>
        <w:bidi w:val="0"/>
        <w:adjustRightInd/>
        <w:snapToGrid/>
        <w:spacing w:before="0" w:after="0" w:line="520" w:lineRule="exact"/>
        <w:ind w:right="-220" w:rightChars="-1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号：440000202304099155），落实建设占用耕地耕作层土壤剥离利用。</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220" w:rightChars="-100"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三、请你市人民政府按照《中华人民共和国土地管理法》有关规定，严格履行征地批后实施程序，及时足额支付补偿费用， 安排被征地农民的社会保障费用，落实安置措施，妥善解决好被 征地农民的生产和生活，保证原有生活水平不降低，长远生计有 保障。征地补偿安置不落实的，不得动工用地。</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220" w:rightChars="-100"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四、使用土地涉及的耕地占用税等有关税费的收缴或调整， 请按有关规定办理。</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220" w:rightChars="-100" w:firstLine="640" w:firstLineChars="200"/>
        <w:jc w:val="both"/>
        <w:textAlignment w:val="auto"/>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五、征地批后实施情况和具体项目供地情况须按规定报备。</w:t>
      </w:r>
    </w:p>
    <w:p>
      <w:pPr>
        <w:keepNext w:val="0"/>
        <w:keepLines w:val="0"/>
        <w:pageBreakBefore w:val="0"/>
        <w:widowControl w:val="0"/>
        <w:kinsoku/>
        <w:wordWrap/>
        <w:overflowPunct/>
        <w:topLinePunct w:val="0"/>
        <w:autoSpaceDE/>
        <w:autoSpaceDN/>
        <w:bidi w:val="0"/>
        <w:adjustRightInd/>
        <w:snapToGrid/>
        <w:spacing w:before="0" w:after="0" w:line="480" w:lineRule="exact"/>
        <w:ind w:left="0" w:right="0" w:firstLine="640" w:firstLineChars="200"/>
        <w:jc w:val="center"/>
        <w:textAlignment w:val="auto"/>
        <w:rPr>
          <w:rFonts w:hint="eastAsia" w:ascii="Times New Roman" w:hAnsi="Times New Roman" w:eastAsia="仿宋_GB2312" w:cs="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firstLine="640" w:firstLineChars="200"/>
        <w:jc w:val="center"/>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xml:space="preserve">                                                    广东省人民政府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xml:space="preserve">                                                    2023年8月29日</w:t>
      </w:r>
    </w:p>
    <w:p>
      <w:pPr>
        <w:keepNext w:val="0"/>
        <w:keepLines w:val="0"/>
        <w:pageBreakBefore w:val="0"/>
        <w:widowControl w:val="0"/>
        <w:kinsoku/>
        <w:wordWrap/>
        <w:overflowPunct/>
        <w:topLinePunct w:val="0"/>
        <w:autoSpaceDE/>
        <w:autoSpaceDN/>
        <w:bidi w:val="0"/>
        <w:adjustRightInd/>
        <w:snapToGrid/>
        <w:spacing w:before="0" w:after="0" w:line="520" w:lineRule="exact"/>
        <w:ind w:right="0"/>
        <w:jc w:val="both"/>
        <w:textAlignment w:val="auto"/>
        <w:rPr>
          <w:rFonts w:hint="eastAsia" w:ascii="黑体" w:hAnsi="黑体" w:eastAsia="黑体" w:cs="黑体"/>
          <w:kern w:val="2"/>
          <w:sz w:val="32"/>
          <w:szCs w:val="32"/>
          <w:lang w:val="en-US" w:eastAsia="zh-CN"/>
        </w:rPr>
      </w:pPr>
    </w:p>
    <w:p>
      <w:pPr>
        <w:pStyle w:val="2"/>
        <w:rPr>
          <w:rFonts w:hint="eastAsia" w:ascii="黑体" w:hAnsi="黑体" w:eastAsia="黑体" w:cs="黑体"/>
          <w:kern w:val="2"/>
          <w:sz w:val="32"/>
          <w:szCs w:val="32"/>
          <w:lang w:val="en-US" w:eastAsia="zh-CN"/>
        </w:rPr>
      </w:pPr>
    </w:p>
    <w:p>
      <w:pPr>
        <w:rPr>
          <w:rFonts w:hint="eastAsia" w:ascii="黑体" w:hAnsi="黑体" w:eastAsia="黑体" w:cs="黑体"/>
          <w:kern w:val="2"/>
          <w:sz w:val="32"/>
          <w:szCs w:val="32"/>
          <w:lang w:val="en-US" w:eastAsia="zh-CN"/>
        </w:rPr>
      </w:pPr>
    </w:p>
    <w:p>
      <w:pPr>
        <w:pStyle w:val="2"/>
        <w:rPr>
          <w:rFonts w:hint="eastAsia" w:ascii="黑体" w:hAnsi="黑体" w:eastAsia="黑体" w:cs="黑体"/>
          <w:kern w:val="2"/>
          <w:sz w:val="32"/>
          <w:szCs w:val="32"/>
          <w:lang w:val="en-US" w:eastAsia="zh-CN"/>
        </w:rPr>
      </w:pPr>
    </w:p>
    <w:p>
      <w:pPr>
        <w:rPr>
          <w:rFonts w:hint="eastAsia" w:ascii="黑体" w:hAnsi="黑体" w:eastAsia="黑体" w:cs="黑体"/>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480" w:lineRule="exact"/>
        <w:ind w:left="0" w:right="0" w:firstLine="640" w:firstLineChars="200"/>
        <w:jc w:val="center"/>
        <w:textAlignment w:val="auto"/>
        <w:rPr>
          <w:rFonts w:hint="eastAsia" w:ascii="Times New Roman" w:hAnsi="Times New Roman" w:eastAsia="仿宋_GB2312" w:cs="Times New Roman"/>
          <w:kern w:val="2"/>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right="0"/>
        <w:jc w:val="both"/>
        <w:textAlignment w:val="auto"/>
        <w:rPr>
          <w:rFonts w:hint="default" w:ascii="Times New Roman" w:hAnsi="Times New Roman" w:eastAsia="仿宋_GB2312" w:cs="Times New Roman"/>
          <w:kern w:val="2"/>
          <w:sz w:val="32"/>
          <w:szCs w:val="32"/>
          <w:lang w:val="en-US" w:eastAsia="zh-CN"/>
        </w:rPr>
      </w:pPr>
      <w:r>
        <w:rPr>
          <w:rFonts w:hint="eastAsia" w:ascii="黑体" w:hAnsi="黑体" w:eastAsia="黑体" w:cs="黑体"/>
          <w:kern w:val="2"/>
          <w:sz w:val="32"/>
          <w:szCs w:val="32"/>
          <w:lang w:val="en-US" w:eastAsia="zh-CN"/>
        </w:rPr>
        <w:t>公开方式：</w:t>
      </w:r>
      <w:r>
        <w:rPr>
          <w:rFonts w:hint="default" w:ascii="Times New Roman" w:hAnsi="Times New Roman" w:eastAsia="仿宋_GB2312" w:cs="Times New Roman"/>
          <w:kern w:val="2"/>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before="0" w:after="0" w:line="520" w:lineRule="exact"/>
        <w:ind w:left="-220" w:leftChars="-100" w:right="-330" w:rightChars="-150" w:firstLine="560" w:firstLineChars="200"/>
        <w:jc w:val="both"/>
        <w:textAlignment w:val="auto"/>
        <w:rPr>
          <w:rFonts w:hint="default" w:ascii="Times New Roman" w:hAnsi="Times New Roman" w:eastAsia="仿宋_GB2312" w:cs="Times New Roman"/>
          <w:kern w:val="2"/>
          <w:sz w:val="28"/>
          <w:szCs w:val="28"/>
          <w:lang w:val="en-US" w:eastAsia="zh-CN"/>
        </w:rPr>
      </w:pPr>
      <w:r>
        <w:rPr>
          <w:rFonts w:hint="default" w:ascii="Times New Roman" w:hAnsi="Times New Roman" w:eastAsia="仿宋_GB2312" w:cs="Times New Roman"/>
          <w:kern w:val="2"/>
          <w:sz w:val="28"/>
          <w:szCs w:val="28"/>
          <w:lang w:val="en-US" w:eastAsia="zh-CN"/>
        </w:rPr>
        <w:t>抄送：</w:t>
      </w:r>
      <w:r>
        <w:rPr>
          <w:rFonts w:hint="eastAsia" w:ascii="Times New Roman" w:hAnsi="Times New Roman" w:eastAsia="仿宋_GB2312" w:cs="Times New Roman"/>
          <w:kern w:val="2"/>
          <w:sz w:val="28"/>
          <w:szCs w:val="28"/>
          <w:lang w:val="en-US" w:eastAsia="zh-CN"/>
        </w:rPr>
        <w:t>国家</w:t>
      </w:r>
      <w:r>
        <w:rPr>
          <w:rFonts w:hint="default" w:ascii="Times New Roman" w:hAnsi="Times New Roman" w:eastAsia="仿宋_GB2312" w:cs="Times New Roman"/>
          <w:kern w:val="2"/>
          <w:sz w:val="28"/>
          <w:szCs w:val="28"/>
          <w:lang w:val="en-US" w:eastAsia="zh-CN"/>
        </w:rPr>
        <w:t>自然资源</w:t>
      </w:r>
      <w:r>
        <w:rPr>
          <w:rFonts w:hint="eastAsia" w:ascii="Times New Roman" w:hAnsi="Times New Roman" w:eastAsia="仿宋_GB2312" w:cs="Times New Roman"/>
          <w:kern w:val="2"/>
          <w:sz w:val="28"/>
          <w:szCs w:val="28"/>
          <w:lang w:val="en-US" w:eastAsia="zh-CN"/>
        </w:rPr>
        <w:t>监督广州</w:t>
      </w:r>
      <w:r>
        <w:rPr>
          <w:rFonts w:hint="default" w:ascii="Times New Roman" w:hAnsi="Times New Roman" w:eastAsia="仿宋_GB2312" w:cs="Times New Roman"/>
          <w:kern w:val="2"/>
          <w:sz w:val="28"/>
          <w:szCs w:val="28"/>
          <w:lang w:val="en-US" w:eastAsia="zh-CN"/>
        </w:rPr>
        <w:t>局，财政部广东监管局，省财政厅、省人</w:t>
      </w:r>
    </w:p>
    <w:p>
      <w:pPr>
        <w:keepNext w:val="0"/>
        <w:keepLines w:val="0"/>
        <w:pageBreakBefore w:val="0"/>
        <w:widowControl w:val="0"/>
        <w:kinsoku/>
        <w:wordWrap/>
        <w:overflowPunct/>
        <w:topLinePunct w:val="0"/>
        <w:autoSpaceDE/>
        <w:autoSpaceDN/>
        <w:bidi w:val="0"/>
        <w:adjustRightInd/>
        <w:snapToGrid/>
        <w:spacing w:before="0" w:after="0" w:line="520" w:lineRule="exact"/>
        <w:ind w:left="-220" w:leftChars="-100" w:right="-330" w:rightChars="-150" w:firstLine="560" w:firstLineChars="200"/>
        <w:jc w:val="both"/>
        <w:textAlignment w:val="auto"/>
        <w:rPr>
          <w:rFonts w:hint="default"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lang w:val="en-US" w:eastAsia="zh-CN"/>
        </w:rPr>
        <w:t>力资源和社会保障厅、省自然资源厅、省农业农村厅、国</w:t>
      </w:r>
      <w:r>
        <w:rPr>
          <w:rFonts w:hint="eastAsia" w:ascii="Times New Roman" w:hAnsi="Times New Roman" w:eastAsia="仿宋_GB2312" w:cs="Times New Roman"/>
          <w:kern w:val="2"/>
          <w:sz w:val="28"/>
          <w:szCs w:val="28"/>
          <w:lang w:val="en-US" w:eastAsia="zh-CN"/>
        </w:rPr>
        <w:t>家</w:t>
      </w:r>
      <w:r>
        <w:rPr>
          <w:rFonts w:hint="default" w:ascii="Times New Roman" w:hAnsi="Times New Roman" w:eastAsia="仿宋_GB2312" w:cs="Times New Roman"/>
          <w:kern w:val="2"/>
          <w:sz w:val="28"/>
          <w:szCs w:val="28"/>
          <w:lang w:val="en-US" w:eastAsia="zh-CN"/>
        </w:rPr>
        <w:t>税务</w:t>
      </w:r>
    </w:p>
    <w:p>
      <w:pPr>
        <w:keepNext w:val="0"/>
        <w:keepLines w:val="0"/>
        <w:pageBreakBefore w:val="0"/>
        <w:widowControl w:val="0"/>
        <w:kinsoku/>
        <w:wordWrap/>
        <w:overflowPunct/>
        <w:topLinePunct w:val="0"/>
        <w:autoSpaceDE/>
        <w:autoSpaceDN/>
        <w:bidi w:val="0"/>
        <w:adjustRightInd/>
        <w:snapToGrid/>
        <w:spacing w:before="0" w:after="0" w:line="520" w:lineRule="exact"/>
        <w:ind w:left="-220" w:leftChars="-100" w:right="-330" w:rightChars="-150" w:firstLine="560" w:firstLineChars="200"/>
        <w:jc w:val="both"/>
        <w:textAlignment w:val="auto"/>
        <w:rPr>
          <w:rFonts w:hint="default"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 xml:space="preserve">            </w:t>
      </w:r>
      <w:r>
        <w:rPr>
          <w:rFonts w:hint="default" w:ascii="Times New Roman" w:hAnsi="Times New Roman" w:eastAsia="仿宋_GB2312" w:cs="Times New Roman"/>
          <w:kern w:val="2"/>
          <w:sz w:val="28"/>
          <w:szCs w:val="28"/>
          <w:lang w:val="en-US" w:eastAsia="zh-CN"/>
        </w:rPr>
        <w:t>总局广东省税务局</w:t>
      </w:r>
      <w:r>
        <w:rPr>
          <w:rFonts w:hint="eastAsia" w:ascii="Times New Roman" w:hAnsi="Times New Roman" w:eastAsia="仿宋_GB2312" w:cs="Times New Roman"/>
          <w:kern w:val="2"/>
          <w:sz w:val="28"/>
          <w:szCs w:val="28"/>
          <w:lang w:val="en-US" w:eastAsia="zh-CN"/>
        </w:rPr>
        <w:t>。</w:t>
      </w:r>
      <w:bookmarkStart w:id="0" w:name="_GoBack"/>
      <w:bookmarkEnd w:id="0"/>
    </w:p>
    <w:sectPr>
      <w:footerReference r:id="rId5" w:type="default"/>
      <w:pgSz w:w="11920" w:h="16850"/>
      <w:pgMar w:top="2098" w:right="1474" w:bottom="1984" w:left="1587"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left:0.05pt;margin-top:-44.55pt;height:42pt;width:61.95pt;mso-position-horizontal-relative:margin;z-index:251660288;mso-width-relative:page;mso-height-relative:page;" filled="f" stroked="f" coordsize="21600,21600">
          <v:path/>
          <v:fill on="f" focussize="0,0"/>
          <v:stroke on="f"/>
          <v:imagedata o:title=""/>
          <o:lock v:ext="edit" aspectratio="f"/>
          <v:textbox inset="0mm,0mm,0mm,0mm">
            <w:txbxContent>
              <w:p>
                <w:pPr>
                  <w:pStyle w:val="4"/>
                  <w:rPr>
                    <w:sz w:val="32"/>
                    <w:szCs w:val="32"/>
                  </w:rPr>
                </w:pPr>
                <w:r>
                  <w:rPr>
                    <w:sz w:val="32"/>
                    <w:szCs w:val="32"/>
                  </w:rPr>
                  <w:t xml:space="preserve">— </w:t>
                </w:r>
                <w:r>
                  <w:rPr>
                    <w:rFonts w:hint="eastAsia"/>
                    <w:sz w:val="32"/>
                    <w:szCs w:val="32"/>
                    <w:lang w:val="en-US" w:eastAsia="zh-CN"/>
                  </w:rPr>
                  <w:t>2</w:t>
                </w:r>
                <w:r>
                  <w:rPr>
                    <w:sz w:val="32"/>
                    <w:szCs w:val="32"/>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zFlMzI4MzFiZDAxOGFkOGI5M2M5NzcxNmY1YjQyOTkifQ=="/>
  </w:docVars>
  <w:rsids>
    <w:rsidRoot w:val="00000000"/>
    <w:rsid w:val="323B0894"/>
    <w:rsid w:val="3A53370E"/>
    <w:rsid w:val="642F3F73"/>
    <w:rsid w:val="721469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2023-09-20T07:12:00Z</dcterms:created>
  <dc:creator>Administrator</dc:creator>
  <cp:lastModifiedBy>minjin</cp:lastModifiedBy>
  <dcterms:modified xsi:type="dcterms:W3CDTF">2023-09-20T07:52:52Z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DocuCentre-IV 3065 </vt:lpwstr>
  </property>
  <property fmtid="{D5CDD505-2E9C-101B-9397-08002B2CF9AE}" pid="4" name="LastSaved">
    <vt:filetime>2023-09-20T00:00:00Z</vt:filetime>
  </property>
  <property fmtid="{D5CDD505-2E9C-101B-9397-08002B2CF9AE}" pid="5" name="KSOProductBuildVer">
    <vt:lpwstr>2052-12.1.0.15374</vt:lpwstr>
  </property>
  <property fmtid="{D5CDD505-2E9C-101B-9397-08002B2CF9AE}" pid="6" name="ICV">
    <vt:lpwstr>94792790D8C04890890D48709398B449_12</vt:lpwstr>
  </property>
</Properties>
</file>