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lang w:eastAsia="zh-CN"/>
        </w:rPr>
      </w:pPr>
      <w:bookmarkStart w:id="2" w:name="_GoBack"/>
      <w:bookmarkEnd w:id="2"/>
    </w:p>
    <w:p>
      <w:pPr>
        <w:spacing w:line="560" w:lineRule="exact"/>
        <w:jc w:val="center"/>
        <w:rPr>
          <w:rFonts w:ascii="Times New Roman" w:hAnsi="Times New Roman" w:eastAsia="方正小标宋简体" w:cs="Times New Roman"/>
          <w:sz w:val="44"/>
          <w:szCs w:val="44"/>
          <w:lang w:eastAsia="zh-CN"/>
        </w:rPr>
      </w:pPr>
    </w:p>
    <w:p>
      <w:pPr>
        <w:spacing w:line="560" w:lineRule="exact"/>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关于广州市白云区2023年度第十五批次</w:t>
      </w:r>
    </w:p>
    <w:p>
      <w:pPr>
        <w:spacing w:line="560" w:lineRule="exact"/>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城镇建设用地的</w:t>
      </w:r>
      <w:r>
        <w:rPr>
          <w:rFonts w:ascii="Times New Roman" w:hAnsi="Times New Roman" w:eastAsia="方正小标宋简体" w:cs="Times New Roman"/>
          <w:sz w:val="44"/>
          <w:szCs w:val="44"/>
          <w:lang w:eastAsia="zh-CN"/>
        </w:rPr>
        <w:t>征地补偿安置方案</w:t>
      </w:r>
    </w:p>
    <w:p>
      <w:pPr>
        <w:spacing w:before="7" w:line="560" w:lineRule="exact"/>
        <w:rPr>
          <w:rFonts w:ascii="Times New Roman" w:hAnsi="Times New Roman" w:eastAsia="Adobe 黑体 Std R" w:cs="Times New Roman"/>
          <w:sz w:val="34"/>
          <w:szCs w:val="34"/>
          <w:lang w:eastAsia="zh-CN"/>
        </w:rPr>
      </w:pP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w:t>
      </w:r>
      <w:r>
        <w:rPr>
          <w:rFonts w:ascii="Times New Roman" w:hAnsi="Times New Roman" w:eastAsia="仿宋_GB2312" w:cs="Times New Roman"/>
          <w:spacing w:val="-20"/>
          <w:lang w:eastAsia="zh-CN"/>
        </w:rPr>
        <w:t>花都</w:t>
      </w:r>
      <w:r>
        <w:rPr>
          <w:rFonts w:ascii="Times New Roman" w:hAnsi="Times New Roman" w:eastAsia="仿宋_GB2312" w:cs="Times New Roman"/>
          <w:lang w:eastAsia="zh-CN"/>
        </w:rPr>
        <w:t>区</w:t>
      </w:r>
      <w:r>
        <w:rPr>
          <w:rFonts w:ascii="Times New Roman" w:hAnsi="Times New Roman" w:eastAsia="仿宋_GB2312" w:cs="Times New Roman"/>
          <w:spacing w:val="-20"/>
          <w:lang w:eastAsia="zh-CN"/>
        </w:rPr>
        <w:t>花东镇</w:t>
      </w:r>
      <w:r>
        <w:rPr>
          <w:rFonts w:ascii="Times New Roman" w:hAnsi="Times New Roman" w:eastAsia="仿宋_GB2312" w:cs="Times New Roman"/>
          <w:lang w:eastAsia="zh-CN"/>
        </w:rPr>
        <w:t>建设规划，完善城市功</w:t>
      </w:r>
      <w:r>
        <w:rPr>
          <w:rFonts w:ascii="Times New Roman" w:hAnsi="Times New Roman" w:eastAsia="仿宋_GB2312" w:cs="Times New Roman"/>
          <w:spacing w:val="6"/>
          <w:lang w:eastAsia="zh-CN"/>
        </w:rPr>
        <w:t>能，改善城市环境，促进经济、文化发展，广州市花都</w:t>
      </w:r>
      <w:r>
        <w:rPr>
          <w:rFonts w:ascii="Times New Roman" w:hAnsi="Times New Roman" w:eastAsia="仿宋_GB2312" w:cs="Times New Roman"/>
          <w:spacing w:val="3"/>
          <w:lang w:eastAsia="zh-CN"/>
        </w:rPr>
        <w:t>区人</w:t>
      </w:r>
      <w:r>
        <w:rPr>
          <w:rFonts w:ascii="Times New Roman" w:hAnsi="Times New Roman" w:eastAsia="仿宋_GB2312" w:cs="Times New Roman"/>
          <w:spacing w:val="5"/>
          <w:lang w:eastAsia="zh-CN"/>
        </w:rPr>
        <w:t>民政府拟征收</w:t>
      </w:r>
      <w:r>
        <w:rPr>
          <w:rFonts w:ascii="Times New Roman" w:hAnsi="Times New Roman" w:eastAsia="仿宋_GB2312" w:cs="Times New Roman"/>
          <w:lang w:eastAsia="zh-CN"/>
        </w:rPr>
        <w:t>花都区花东镇李溪村第四经济合作社、第七经济合作社、第八经济合作社、第十一经济合作社</w:t>
      </w:r>
      <w:r>
        <w:rPr>
          <w:rFonts w:hint="eastAsia" w:ascii="Times New Roman" w:hAnsi="Times New Roman" w:eastAsia="仿宋_GB2312" w:cs="Times New Roman"/>
          <w:lang w:eastAsia="zh-CN"/>
        </w:rPr>
        <w:t>、</w:t>
      </w:r>
      <w:bookmarkStart w:id="0" w:name="_Hlk146733959"/>
      <w:r>
        <w:rPr>
          <w:rFonts w:hint="eastAsia" w:ascii="Times New Roman" w:hAnsi="Times New Roman" w:eastAsia="仿宋_GB2312" w:cs="Times New Roman"/>
          <w:lang w:eastAsia="zh-CN"/>
        </w:rPr>
        <w:t>李溪经济联合社</w:t>
      </w:r>
      <w:bookmarkEnd w:id="0"/>
      <w:r>
        <w:rPr>
          <w:rFonts w:ascii="Times New Roman" w:hAnsi="Times New Roman" w:eastAsia="仿宋_GB2312" w:cs="Times New Roman"/>
          <w:lang w:eastAsia="zh-CN"/>
        </w:rPr>
        <w:t>属下的集体土地</w:t>
      </w:r>
      <w:r>
        <w:rPr>
          <w:rFonts w:hint="eastAsia" w:ascii="Times New Roman" w:hAnsi="Times New Roman" w:eastAsia="仿宋_GB2312" w:cs="Times New Roman"/>
          <w:lang w:eastAsia="zh-CN"/>
        </w:rPr>
        <w:t>共计0.167</w:t>
      </w:r>
      <w:r>
        <w:rPr>
          <w:rFonts w:ascii="Times New Roman" w:hAnsi="Times New Roman" w:eastAsia="仿宋_GB2312" w:cs="Times New Roman"/>
          <w:lang w:eastAsia="zh-CN"/>
        </w:rPr>
        <w:t>7公顷（2.5155亩）。根据《中华人民共和国土地管理法》第二条、第四十五条、第四十七条，《中华人民共和国土地管理法实施条例》第二十七条、第二十八条，以及《广东省</w:t>
      </w:r>
      <w:r>
        <w:rPr>
          <w:rFonts w:ascii="Times New Roman" w:hAnsi="Times New Roman" w:eastAsia="仿宋_GB2312" w:cs="Times New Roman"/>
          <w:spacing w:val="6"/>
          <w:lang w:eastAsia="zh-CN"/>
        </w:rPr>
        <w:t>土地管理条例》第三十条等规定，结合花都</w:t>
      </w:r>
      <w:r>
        <w:rPr>
          <w:rFonts w:ascii="Times New Roman" w:hAnsi="Times New Roman" w:eastAsia="仿宋_GB2312" w:cs="Times New Roman"/>
          <w:spacing w:val="5"/>
          <w:lang w:eastAsia="zh-CN"/>
        </w:rPr>
        <w:t>区的征收农用地</w:t>
      </w:r>
      <w:r>
        <w:rPr>
          <w:rFonts w:ascii="Times New Roman" w:hAnsi="Times New Roman" w:eastAsia="仿宋_GB2312" w:cs="Times New Roman"/>
          <w:lang w:eastAsia="zh-CN"/>
        </w:rPr>
        <w:t>区片综合地价和实际情况，拟定了征地补偿安置方案，具体如下：</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拟征收土地位于广州市花都区花东镇李溪村第四经济合作社、第七经济合作社、第八经济合作社、第十一经济合作社</w:t>
      </w:r>
      <w:r>
        <w:rPr>
          <w:rFonts w:hint="eastAsia" w:ascii="Times New Roman" w:hAnsi="Times New Roman" w:eastAsia="仿宋_GB2312" w:cs="Times New Roman"/>
          <w:sz w:val="32"/>
          <w:szCs w:val="32"/>
          <w:lang w:eastAsia="zh-CN"/>
        </w:rPr>
        <w:t>、李溪经济联合社</w:t>
      </w:r>
      <w:r>
        <w:rPr>
          <w:rFonts w:ascii="Times New Roman" w:hAnsi="Times New Roman" w:eastAsia="仿宋_GB2312" w:cs="Times New Roman"/>
          <w:sz w:val="32"/>
          <w:szCs w:val="32"/>
          <w:lang w:eastAsia="zh-CN"/>
        </w:rPr>
        <w:t>范围内，具体位置详见附图。</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实际征收土地范围以最终批准文件为准。</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根据《中华人民共和国土地管理法》第四十五条的规定，本次征收土地目的为由政府组织实施的交通基础设施建设需要用地，拟征收土地规划用途为交通运输用地，用地报批组卷批次号为广州市白云区</w:t>
      </w:r>
      <w:r>
        <w:rPr>
          <w:rFonts w:hint="eastAsia" w:ascii="Times New Roman" w:hAnsi="Times New Roman" w:eastAsia="仿宋_GB2312" w:cs="Times New Roman"/>
          <w:sz w:val="32"/>
          <w:szCs w:val="32"/>
          <w:lang w:eastAsia="zh-CN"/>
        </w:rPr>
        <w:t>2023</w:t>
      </w:r>
      <w:r>
        <w:rPr>
          <w:rFonts w:ascii="Times New Roman" w:hAnsi="Times New Roman" w:eastAsia="仿宋_GB2312" w:cs="Times New Roman"/>
          <w:sz w:val="32"/>
          <w:szCs w:val="32"/>
          <w:lang w:eastAsia="zh-CN"/>
        </w:rPr>
        <w:t>年度第十五批次城镇建设用地。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拟征收广州市花都区花东镇李溪村第四经济合作社、第七经济合作社、第八经济合作社、第十一经济合作社</w:t>
      </w:r>
      <w:r>
        <w:rPr>
          <w:rFonts w:hint="eastAsia" w:ascii="Times New Roman" w:hAnsi="Times New Roman" w:eastAsia="仿宋_GB2312" w:cs="Times New Roman"/>
          <w:sz w:val="32"/>
          <w:szCs w:val="32"/>
          <w:lang w:eastAsia="zh-CN"/>
        </w:rPr>
        <w:t>、李溪经济联合社</w:t>
      </w:r>
      <w:r>
        <w:rPr>
          <w:rFonts w:ascii="Times New Roman" w:hAnsi="Times New Roman" w:eastAsia="仿宋_GB2312" w:cs="Times New Roman"/>
          <w:sz w:val="32"/>
          <w:szCs w:val="32"/>
          <w:lang w:eastAsia="zh-CN"/>
        </w:rPr>
        <w:t>属下的集体土地</w:t>
      </w:r>
      <w:r>
        <w:rPr>
          <w:rFonts w:hint="eastAsia" w:ascii="Times New Roman" w:hAnsi="Times New Roman" w:eastAsia="仿宋_GB2312" w:cs="Times New Roman"/>
          <w:sz w:val="32"/>
          <w:szCs w:val="32"/>
          <w:lang w:eastAsia="zh-CN"/>
        </w:rPr>
        <w:t>0.167</w:t>
      </w:r>
      <w:r>
        <w:rPr>
          <w:rFonts w:ascii="Times New Roman" w:hAnsi="Times New Roman" w:eastAsia="仿宋_GB2312" w:cs="Times New Roman"/>
          <w:sz w:val="32"/>
          <w:szCs w:val="32"/>
          <w:lang w:eastAsia="zh-CN"/>
        </w:rPr>
        <w:t>7公顷（</w:t>
      </w:r>
      <w:r>
        <w:rPr>
          <w:rFonts w:hint="eastAsia" w:ascii="Times New Roman" w:hAnsi="Times New Roman" w:eastAsia="仿宋_GB2312" w:cs="Times New Roman"/>
          <w:sz w:val="32"/>
          <w:szCs w:val="32"/>
          <w:lang w:eastAsia="zh-CN"/>
        </w:rPr>
        <w:t>2.51</w:t>
      </w:r>
      <w:r>
        <w:rPr>
          <w:rFonts w:ascii="Times New Roman" w:hAnsi="Times New Roman" w:eastAsia="仿宋_GB2312" w:cs="Times New Roman"/>
          <w:sz w:val="32"/>
          <w:szCs w:val="32"/>
          <w:lang w:eastAsia="zh-CN"/>
        </w:rPr>
        <w:t>55亩）。其中农用地</w:t>
      </w:r>
      <w:r>
        <w:rPr>
          <w:rFonts w:hint="eastAsia" w:ascii="Times New Roman" w:hAnsi="Times New Roman" w:eastAsia="仿宋_GB2312" w:cs="Times New Roman"/>
          <w:sz w:val="32"/>
          <w:szCs w:val="32"/>
          <w:lang w:eastAsia="zh-CN"/>
        </w:rPr>
        <w:t>0.131</w:t>
      </w:r>
      <w:r>
        <w:rPr>
          <w:rFonts w:ascii="Times New Roman" w:hAnsi="Times New Roman" w:eastAsia="仿宋_GB2312" w:cs="Times New Roman"/>
          <w:sz w:val="32"/>
          <w:szCs w:val="32"/>
          <w:lang w:eastAsia="zh-CN"/>
        </w:rPr>
        <w:t>3公顷（</w:t>
      </w:r>
      <w:r>
        <w:rPr>
          <w:rFonts w:hint="eastAsia" w:ascii="Times New Roman" w:hAnsi="Times New Roman" w:eastAsia="仿宋_GB2312" w:cs="Times New Roman"/>
          <w:sz w:val="32"/>
          <w:szCs w:val="32"/>
          <w:lang w:eastAsia="zh-CN"/>
        </w:rPr>
        <w:t>1.96</w:t>
      </w:r>
      <w:r>
        <w:rPr>
          <w:rFonts w:ascii="Times New Roman" w:hAnsi="Times New Roman" w:eastAsia="仿宋_GB2312" w:cs="Times New Roman"/>
          <w:sz w:val="32"/>
          <w:szCs w:val="32"/>
          <w:lang w:eastAsia="zh-CN"/>
        </w:rPr>
        <w:t>95亩），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lang w:eastAsia="zh-CN"/>
        </w:rPr>
        <w:t>.0001</w:t>
      </w:r>
      <w:r>
        <w:rPr>
          <w:rFonts w:hint="eastAsia" w:ascii="Times New Roman" w:hAnsi="Times New Roman" w:eastAsia="仿宋_GB2312" w:cs="Times New Roman"/>
          <w:sz w:val="32"/>
          <w:szCs w:val="32"/>
          <w:lang w:eastAsia="zh-CN"/>
        </w:rPr>
        <w:t>公顷（0</w:t>
      </w:r>
      <w:r>
        <w:rPr>
          <w:rFonts w:ascii="Times New Roman" w:hAnsi="Times New Roman" w:eastAsia="仿宋_GB2312" w:cs="Times New Roman"/>
          <w:sz w:val="32"/>
          <w:szCs w:val="32"/>
          <w:lang w:eastAsia="zh-CN"/>
        </w:rPr>
        <w:t>.0015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，建设用地0.</w:t>
      </w:r>
      <w:r>
        <w:rPr>
          <w:rFonts w:hint="eastAsia" w:ascii="Times New Roman" w:hAnsi="Times New Roman" w:eastAsia="仿宋_GB2312" w:cs="Times New Roman"/>
          <w:sz w:val="32"/>
          <w:szCs w:val="32"/>
          <w:lang w:eastAsia="zh-CN"/>
        </w:rPr>
        <w:t>0364</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0.5460</w:t>
      </w:r>
      <w:r>
        <w:rPr>
          <w:rFonts w:ascii="Times New Roman" w:hAnsi="Times New Roman" w:eastAsia="仿宋_GB2312" w:cs="Times New Roman"/>
          <w:sz w:val="32"/>
          <w:szCs w:val="32"/>
          <w:lang w:eastAsia="zh-CN"/>
        </w:rPr>
        <w:t>亩），不涉及未利用地。根据用地报批地类还原相关规则，上述征收地块报批地类为农用地</w:t>
      </w:r>
      <w:r>
        <w:rPr>
          <w:rFonts w:hint="eastAsia" w:ascii="Times New Roman" w:hAnsi="Times New Roman" w:eastAsia="仿宋_GB2312" w:cs="Times New Roman"/>
          <w:sz w:val="32"/>
          <w:szCs w:val="32"/>
          <w:lang w:eastAsia="zh-CN"/>
        </w:rPr>
        <w:t>0.167</w:t>
      </w:r>
      <w:r>
        <w:rPr>
          <w:rFonts w:ascii="Times New Roman" w:hAnsi="Times New Roman" w:eastAsia="仿宋_GB2312" w:cs="Times New Roman"/>
          <w:sz w:val="32"/>
          <w:szCs w:val="32"/>
          <w:lang w:eastAsia="zh-CN"/>
        </w:rPr>
        <w:t>7公顷（</w:t>
      </w:r>
      <w:r>
        <w:rPr>
          <w:rFonts w:hint="eastAsia" w:ascii="Times New Roman" w:hAnsi="Times New Roman" w:eastAsia="仿宋_GB2312" w:cs="Times New Roman"/>
          <w:sz w:val="32"/>
          <w:szCs w:val="32"/>
          <w:lang w:eastAsia="zh-CN"/>
        </w:rPr>
        <w:t>2.51</w:t>
      </w:r>
      <w:r>
        <w:rPr>
          <w:rFonts w:ascii="Times New Roman" w:hAnsi="Times New Roman" w:eastAsia="仿宋_GB2312" w:cs="Times New Roman"/>
          <w:sz w:val="32"/>
          <w:szCs w:val="32"/>
          <w:lang w:eastAsia="zh-CN"/>
        </w:rPr>
        <w:t>55亩），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lang w:eastAsia="zh-CN"/>
        </w:rPr>
        <w:t>.0001</w:t>
      </w:r>
      <w:r>
        <w:rPr>
          <w:rFonts w:hint="eastAsia" w:ascii="Times New Roman" w:hAnsi="Times New Roman" w:eastAsia="仿宋_GB2312" w:cs="Times New Roman"/>
          <w:sz w:val="32"/>
          <w:szCs w:val="32"/>
          <w:lang w:eastAsia="zh-CN"/>
        </w:rPr>
        <w:t>公顷（0</w:t>
      </w:r>
      <w:r>
        <w:rPr>
          <w:rFonts w:ascii="Times New Roman" w:hAnsi="Times New Roman" w:eastAsia="仿宋_GB2312" w:cs="Times New Roman"/>
          <w:sz w:val="32"/>
          <w:szCs w:val="32"/>
          <w:lang w:eastAsia="zh-CN"/>
        </w:rPr>
        <w:t>.0015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，不涉及建设用地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不涉及未利用地。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广州市人民政府关于公布实施征收农用地区片综合地价的公告》，征收集体农用地按240万元/公顷补偿（其中，土地补偿费120万元/公顷、安置补助费120万元/公顷）、建设用地和未利用地按240万元/公顷的标准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《广州市花都区人民政府办公室关于印发广州白云国际机场三期扩建工程及噪音区征拆安置花都区项目征收补偿安置方案的通知》（花府办〔2020〕1号）的规定执行。</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bookmarkStart w:id="1" w:name="_Hlk135344410"/>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lang w:eastAsia="zh-CN"/>
        </w:rPr>
        <w:t>执行</w:t>
      </w:r>
      <w:r>
        <w:rPr>
          <w:rFonts w:ascii="Times New Roman" w:hAnsi="Times New Roman" w:eastAsia="仿宋_GB2312" w:cs="Times New Roman"/>
          <w:sz w:val="32"/>
          <w:szCs w:val="32"/>
          <w:lang w:eastAsia="zh-CN"/>
        </w:rPr>
        <w:t>。</w:t>
      </w:r>
      <w:bookmarkEnd w:id="1"/>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应纳入养老保障范围的被征地农民人数为5人，具体名单经村民（股东）大会或村民（股东）代表大会讨论，由村委会报镇人民政府核准、公示后确定。安置补助费由区人民政府按规定支付给土地所有权人，由农村财务管理部门按照省、市农村集体资产管理相关规定管理和使用。</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执行原征地社保政策，核定该项目按每人16200元标准一次性计提被征地农民养老保障资金存入“收缴被征地农民养老保障资金过渡户”，费用合计8.10万元，专款用于被征地农民缴纳养老保险费用。征地批准文件批复的实际范围有变化的，费用将做相应调整。</w:t>
      </w:r>
    </w:p>
    <w:p>
      <w:pPr>
        <w:pStyle w:val="3"/>
        <w:spacing w:before="10" w:line="560" w:lineRule="exact"/>
        <w:ind w:left="0" w:right="111"/>
        <w:jc w:val="both"/>
        <w:rPr>
          <w:rFonts w:ascii="Times New Roman" w:hAnsi="Times New Roman" w:eastAsia="仿宋_GB2312" w:cs="Times New Roman"/>
          <w:lang w:eastAsia="zh-CN"/>
        </w:rPr>
      </w:pPr>
    </w:p>
    <w:p>
      <w:pPr>
        <w:spacing w:line="560" w:lineRule="exact"/>
        <w:jc w:val="righ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广州市规划和自然资源局花都区分局</w:t>
      </w:r>
    </w:p>
    <w:p>
      <w:pPr>
        <w:pStyle w:val="3"/>
        <w:spacing w:line="560" w:lineRule="exact"/>
        <w:ind w:left="0" w:right="260"/>
        <w:jc w:val="center"/>
        <w:rPr>
          <w:rFonts w:ascii="Times New Roman" w:hAnsi="Times New Roman" w:eastAsia="仿宋_GB2312" w:cs="Times New Roman"/>
          <w:lang w:eastAsia="zh-CN"/>
        </w:rPr>
      </w:pPr>
      <w:r>
        <w:rPr>
          <w:rFonts w:ascii="Times New Roman" w:hAnsi="Times New Roman" w:eastAsia="仿宋_GB2312" w:cs="Times New Roman"/>
          <w:lang w:eastAsia="zh-CN"/>
        </w:rPr>
        <w:t xml:space="preserve">                                                    2023年</w:t>
      </w:r>
      <w:r>
        <w:rPr>
          <w:rFonts w:ascii="Times New Roman" w:hAnsi="Times New Roman" w:eastAsia="仿宋_GB2312" w:cs="Times New Roman"/>
          <w:spacing w:val="-37"/>
          <w:lang w:eastAsia="zh-CN"/>
        </w:rPr>
        <w:t>9</w:t>
      </w:r>
      <w:r>
        <w:rPr>
          <w:rFonts w:ascii="Times New Roman" w:hAnsi="Times New Roman" w:eastAsia="仿宋_GB2312" w:cs="Times New Roman"/>
          <w:lang w:eastAsia="zh-CN"/>
        </w:rPr>
        <w:t>月</w:t>
      </w:r>
      <w:r>
        <w:rPr>
          <w:rFonts w:ascii="Times New Roman" w:hAnsi="Times New Roman" w:eastAsia="仿宋_GB2312" w:cs="Times New Roman"/>
          <w:spacing w:val="-35"/>
          <w:lang w:eastAsia="zh-CN"/>
        </w:rPr>
        <w:t>28</w:t>
      </w:r>
      <w:r>
        <w:rPr>
          <w:rFonts w:ascii="Times New Roman" w:hAnsi="Times New Roman" w:eastAsia="仿宋_GB2312" w:cs="Times New Roman"/>
          <w:lang w:eastAsia="zh-CN"/>
        </w:rPr>
        <w:t>日</w:t>
      </w:r>
    </w:p>
    <w:sectPr>
      <w:footerReference r:id="rId3" w:type="default"/>
      <w:pgSz w:w="11910" w:h="16840"/>
      <w:pgMar w:top="1960" w:right="1540" w:bottom="168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1270" r="4445" b="1905"/>
              <wp:wrapNone/>
              <wp:docPr id="7172927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rjVc&#10;2wAAAA0BAAAPAAAAAAAAAAEAIAAAACIAAABkcnMvZG93bnJldi54bWxQSwECFAAUAAAACACHTuJA&#10;E77W4OUBAAC8AwAADgAAAAAAAAABACAAAAAqAQAAZHJzL2Uyb0RvYy54bWxQSwUGAAAAAAYABgBZ&#10;AQAAgQU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720"/>
  <w:drawingGridHorizontalSpacing w:val="110"/>
  <w:displayHorizontalDrawingGridEvery w:val="2"/>
  <w:characterSpacingControl w:val="compressPunctuation"/>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D8"/>
    <w:rsid w:val="00014993"/>
    <w:rsid w:val="00053AB5"/>
    <w:rsid w:val="000940DF"/>
    <w:rsid w:val="000A7D65"/>
    <w:rsid w:val="000C7A39"/>
    <w:rsid w:val="001712E7"/>
    <w:rsid w:val="00171630"/>
    <w:rsid w:val="00191469"/>
    <w:rsid w:val="001B2550"/>
    <w:rsid w:val="001F5ACD"/>
    <w:rsid w:val="001F6CA5"/>
    <w:rsid w:val="00217146"/>
    <w:rsid w:val="0023323E"/>
    <w:rsid w:val="00247709"/>
    <w:rsid w:val="00281B28"/>
    <w:rsid w:val="0029577D"/>
    <w:rsid w:val="002A0CD0"/>
    <w:rsid w:val="002A620C"/>
    <w:rsid w:val="002E542B"/>
    <w:rsid w:val="003B4D3E"/>
    <w:rsid w:val="003B6987"/>
    <w:rsid w:val="003C238F"/>
    <w:rsid w:val="003C5ED4"/>
    <w:rsid w:val="003D0A93"/>
    <w:rsid w:val="00477226"/>
    <w:rsid w:val="004A02B1"/>
    <w:rsid w:val="004A5373"/>
    <w:rsid w:val="004C2D9D"/>
    <w:rsid w:val="00515606"/>
    <w:rsid w:val="00523B48"/>
    <w:rsid w:val="00587CAB"/>
    <w:rsid w:val="0059264E"/>
    <w:rsid w:val="00593054"/>
    <w:rsid w:val="005A500B"/>
    <w:rsid w:val="005B1ED0"/>
    <w:rsid w:val="00631E2A"/>
    <w:rsid w:val="0063789F"/>
    <w:rsid w:val="00643352"/>
    <w:rsid w:val="006441C0"/>
    <w:rsid w:val="006572EB"/>
    <w:rsid w:val="00662103"/>
    <w:rsid w:val="006932C8"/>
    <w:rsid w:val="006C2836"/>
    <w:rsid w:val="006C572D"/>
    <w:rsid w:val="006E1725"/>
    <w:rsid w:val="00731295"/>
    <w:rsid w:val="0076081D"/>
    <w:rsid w:val="007D5EA1"/>
    <w:rsid w:val="007F28EB"/>
    <w:rsid w:val="00841BC7"/>
    <w:rsid w:val="00911982"/>
    <w:rsid w:val="009410DE"/>
    <w:rsid w:val="009A7558"/>
    <w:rsid w:val="009B3BF5"/>
    <w:rsid w:val="009C3B5E"/>
    <w:rsid w:val="00A02F64"/>
    <w:rsid w:val="00A04DA4"/>
    <w:rsid w:val="00A116C0"/>
    <w:rsid w:val="00B4296C"/>
    <w:rsid w:val="00B4784D"/>
    <w:rsid w:val="00B764A7"/>
    <w:rsid w:val="00BA77E3"/>
    <w:rsid w:val="00BC49E0"/>
    <w:rsid w:val="00C31064"/>
    <w:rsid w:val="00C9147F"/>
    <w:rsid w:val="00C9568B"/>
    <w:rsid w:val="00CC33B0"/>
    <w:rsid w:val="00CC53A9"/>
    <w:rsid w:val="00CD695C"/>
    <w:rsid w:val="00D10D17"/>
    <w:rsid w:val="00D23D5D"/>
    <w:rsid w:val="00D554D1"/>
    <w:rsid w:val="00D62CAB"/>
    <w:rsid w:val="00DC1D15"/>
    <w:rsid w:val="00DF0B0B"/>
    <w:rsid w:val="00E12D98"/>
    <w:rsid w:val="00E214D8"/>
    <w:rsid w:val="00EC506C"/>
    <w:rsid w:val="00ED6022"/>
    <w:rsid w:val="00F77F99"/>
    <w:rsid w:val="00F819B8"/>
    <w:rsid w:val="00FB1397"/>
    <w:rsid w:val="00FD0BD1"/>
    <w:rsid w:val="00FF6F8A"/>
    <w:rsid w:val="016E2911"/>
    <w:rsid w:val="0C890300"/>
    <w:rsid w:val="19266F12"/>
    <w:rsid w:val="1B915570"/>
    <w:rsid w:val="34394804"/>
    <w:rsid w:val="45A51744"/>
    <w:rsid w:val="4CA37E96"/>
    <w:rsid w:val="73E20827"/>
    <w:rsid w:val="7F53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760"/>
    </w:pPr>
    <w:rPr>
      <w:rFonts w:ascii="Adobe 黑体 Std R" w:hAnsi="Adobe 黑体 Std R" w:eastAsia="Adobe 黑体 Std R"/>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4"/>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Words>
  <Characters>1452</Characters>
  <Lines>12</Lines>
  <Paragraphs>3</Paragraphs>
  <TotalTime>33</TotalTime>
  <ScaleCrop>false</ScaleCrop>
  <LinksUpToDate>false</LinksUpToDate>
  <CharactersWithSpaces>1703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2023-07-13T04:48:00Z</dcterms:created>
  <dc:creator>Admin</dc:creator>
  <cp:lastModifiedBy>NTKO</cp:lastModifiedBy>
  <cp:lastPrinted>2023-05-19T07:39:00Z</cp:lastPrinted>
  <dcterms:modified xsi:type="dcterms:W3CDTF">2023-10-13T04:25:29Z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