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D206" w14:textId="5C331C89" w:rsidR="00E364A1" w:rsidRDefault="00000000">
      <w:pPr>
        <w:tabs>
          <w:tab w:val="left" w:pos="2160"/>
          <w:tab w:val="left" w:pos="2340"/>
          <w:tab w:val="left" w:pos="6480"/>
        </w:tabs>
        <w:spacing w:line="579" w:lineRule="exact"/>
        <w:ind w:rightChars="11" w:right="23"/>
        <w:rPr>
          <w:rFonts w:ascii="Times New Roman" w:eastAsia="仿宋_GB2312" w:hAnsi="Times New Roman" w:cs="Times New Roman" w:hint="eastAsia"/>
          <w:sz w:val="32"/>
          <w:szCs w:val="32"/>
          <w:shd w:val="clear" w:color="auto" w:fill="FFFFFF"/>
        </w:rPr>
      </w:pPr>
      <w:r>
        <w:rPr>
          <w:rFonts w:ascii="Times New Roman" w:eastAsia="仿宋_GB2312" w:hAnsi="Times New Roman" w:cs="Times New Roman"/>
          <w:sz w:val="32"/>
          <w:szCs w:val="32"/>
          <w:shd w:val="clear" w:color="auto" w:fill="FFFFFF"/>
        </w:rPr>
        <w:t>附件</w:t>
      </w:r>
      <w:r>
        <w:rPr>
          <w:rFonts w:ascii="Times New Roman" w:eastAsia="仿宋_GB2312" w:hAnsi="Times New Roman" w:cs="Times New Roman"/>
          <w:sz w:val="32"/>
          <w:szCs w:val="32"/>
          <w:shd w:val="clear" w:color="auto" w:fill="FFFFFF"/>
        </w:rPr>
        <w:t>1</w:t>
      </w:r>
    </w:p>
    <w:p w14:paraId="54D825AB" w14:textId="77777777" w:rsidR="00E364A1" w:rsidRDefault="00E364A1">
      <w:pPr>
        <w:adjustRightInd w:val="0"/>
        <w:snapToGrid w:val="0"/>
        <w:rPr>
          <w:rFonts w:ascii="Times New Roman" w:eastAsia="方正小标宋简体" w:hAnsi="Times New Roman" w:cs="Times New Roman"/>
          <w:color w:val="000000"/>
          <w:sz w:val="44"/>
          <w:szCs w:val="44"/>
        </w:rPr>
      </w:pPr>
    </w:p>
    <w:p w14:paraId="0329E3C5" w14:textId="77777777" w:rsidR="00E364A1" w:rsidRDefault="00000000">
      <w:pPr>
        <w:adjustRightInd w:val="0"/>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关于广州市黄埔区（中新广州知识城）</w:t>
      </w:r>
    </w:p>
    <w:p w14:paraId="7913BD73" w14:textId="77777777" w:rsidR="00E364A1" w:rsidRDefault="00000000">
      <w:pPr>
        <w:adjustRightInd w:val="0"/>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2023</w:t>
      </w:r>
      <w:r>
        <w:rPr>
          <w:rFonts w:ascii="Times New Roman" w:eastAsia="方正小标宋简体" w:hAnsi="Times New Roman" w:cs="Times New Roman" w:hint="eastAsia"/>
          <w:color w:val="000000"/>
          <w:sz w:val="44"/>
          <w:szCs w:val="44"/>
        </w:rPr>
        <w:t>年度第二十四批次</w:t>
      </w:r>
      <w:r>
        <w:rPr>
          <w:rFonts w:ascii="Times New Roman" w:eastAsia="方正小标宋简体" w:hAnsi="Times New Roman" w:cs="Times New Roman"/>
          <w:color w:val="000000"/>
          <w:sz w:val="44"/>
          <w:szCs w:val="44"/>
        </w:rPr>
        <w:t>城镇建设</w:t>
      </w:r>
    </w:p>
    <w:p w14:paraId="0557F086" w14:textId="77777777" w:rsidR="00E364A1" w:rsidRDefault="00000000">
      <w:pPr>
        <w:adjustRightInd w:val="0"/>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用地征地补偿安置方案</w:t>
      </w:r>
    </w:p>
    <w:p w14:paraId="19B305F2" w14:textId="77777777" w:rsidR="00E364A1" w:rsidRDefault="00E364A1">
      <w:pPr>
        <w:spacing w:line="500" w:lineRule="exact"/>
        <w:rPr>
          <w:rFonts w:ascii="Times New Roman" w:eastAsia="仿宋_GB2312" w:hAnsi="Times New Roman" w:cs="Times New Roman"/>
          <w:sz w:val="32"/>
          <w:szCs w:val="32"/>
        </w:rPr>
      </w:pPr>
    </w:p>
    <w:p w14:paraId="03F7D069" w14:textId="77777777" w:rsidR="00E364A1" w:rsidRDefault="00000000">
      <w:pPr>
        <w:tabs>
          <w:tab w:val="left" w:pos="2160"/>
          <w:tab w:val="left" w:pos="2340"/>
          <w:tab w:val="left" w:pos="6480"/>
        </w:tabs>
        <w:spacing w:line="579" w:lineRule="exact"/>
        <w:ind w:rightChars="11" w:right="23"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为实施中新广州知识城建设规划，完善城市功能，改善城市环境，促进经济、文化发展，我区拟征收</w:t>
      </w:r>
      <w:r>
        <w:rPr>
          <w:rFonts w:ascii="Times New Roman" w:eastAsia="仿宋_GB2312" w:hAnsi="Times New Roman" w:cs="Times New Roman"/>
          <w:color w:val="000000"/>
          <w:sz w:val="32"/>
          <w:szCs w:val="32"/>
          <w:lang w:bidi="ar"/>
        </w:rPr>
        <w:t>广州市黄埔区龙湖街旺村村第</w:t>
      </w:r>
      <w:r>
        <w:rPr>
          <w:rFonts w:ascii="Times New Roman" w:eastAsia="仿宋_GB2312" w:hAnsi="Times New Roman" w:cs="Times New Roman" w:hint="eastAsia"/>
          <w:color w:val="000000"/>
          <w:kern w:val="0"/>
          <w:sz w:val="32"/>
          <w:szCs w:val="32"/>
          <w:shd w:val="clear" w:color="auto" w:fill="FFFFFF"/>
          <w:lang w:bidi="ar"/>
        </w:rPr>
        <w:t>一</w:t>
      </w:r>
      <w:r>
        <w:rPr>
          <w:rFonts w:ascii="Times New Roman" w:eastAsia="仿宋_GB2312" w:hAnsi="Times New Roman" w:cs="Times New Roman"/>
          <w:color w:val="000000"/>
          <w:sz w:val="32"/>
          <w:szCs w:val="32"/>
          <w:lang w:bidi="ar"/>
        </w:rPr>
        <w:t>经济合作社</w:t>
      </w: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旺村村第二经济合作社</w:t>
      </w: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第三经济合作社、</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第四经济合作社、</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第五经济合作社、</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第六经济合作社</w:t>
      </w:r>
      <w:r>
        <w:rPr>
          <w:rFonts w:ascii="Times New Roman" w:eastAsia="仿宋_GB2312" w:hAnsi="Times New Roman" w:cs="Times New Roman"/>
          <w:color w:val="000000"/>
          <w:sz w:val="32"/>
          <w:szCs w:val="32"/>
          <w:lang w:bidi="ar"/>
        </w:rPr>
        <w:t>属下的集体土地合计</w:t>
      </w:r>
      <w:r>
        <w:rPr>
          <w:rFonts w:ascii="Times New Roman" w:eastAsia="仿宋_GB2312" w:hAnsi="Times New Roman" w:cs="Times New Roman" w:hint="eastAsia"/>
          <w:color w:val="000000"/>
          <w:sz w:val="32"/>
          <w:szCs w:val="32"/>
          <w:lang w:bidi="ar"/>
        </w:rPr>
        <w:t>0.1789</w:t>
      </w:r>
      <w:r>
        <w:rPr>
          <w:rFonts w:ascii="Times New Roman" w:eastAsia="仿宋_GB2312" w:hAnsi="Times New Roman" w:cs="Times New Roman"/>
          <w:color w:val="000000"/>
          <w:sz w:val="32"/>
          <w:szCs w:val="32"/>
          <w:lang w:bidi="ar"/>
        </w:rPr>
        <w:t>公顷</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rPr>
        <w:t>根据《中华人民共和国土地管理法》第二条、第四十五条、第四十七条有关规定精神、《广东省实施〈中华人民共和国土地管理法〉办法》等规定，结合我区的征收农用地区片综合地价和实际情况，拟定了征地补偿安置方案，具体如下：</w:t>
      </w:r>
    </w:p>
    <w:p w14:paraId="55030829" w14:textId="77777777" w:rsidR="00E364A1" w:rsidRDefault="00000000">
      <w:pPr>
        <w:ind w:firstLineChars="200" w:firstLine="640"/>
        <w:rPr>
          <w:rFonts w:ascii="Times New Roman" w:eastAsia="黑体" w:hAnsi="Times New Roman"/>
          <w:sz w:val="32"/>
          <w:szCs w:val="32"/>
        </w:rPr>
      </w:pPr>
      <w:r>
        <w:rPr>
          <w:rFonts w:ascii="Times New Roman" w:eastAsia="黑体" w:hAnsi="Times New Roman"/>
          <w:sz w:val="32"/>
          <w:szCs w:val="32"/>
        </w:rPr>
        <w:t>一、征收范围</w:t>
      </w:r>
    </w:p>
    <w:p w14:paraId="705CF9B0" w14:textId="77777777" w:rsidR="00E364A1" w:rsidRDefault="00000000">
      <w:pPr>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hint="eastAsia"/>
          <w:sz w:val="32"/>
          <w:szCs w:val="32"/>
        </w:rPr>
        <w:t>拟征收土地位于</w:t>
      </w:r>
      <w:r>
        <w:rPr>
          <w:rFonts w:ascii="Times New Roman" w:eastAsia="仿宋_GB2312" w:hAnsi="Times New Roman" w:cs="Times New Roman"/>
          <w:color w:val="000000"/>
          <w:sz w:val="32"/>
          <w:szCs w:val="32"/>
          <w:lang w:bidi="ar"/>
        </w:rPr>
        <w:t>广州市黄埔区龙湖街旺村村第</w:t>
      </w:r>
      <w:r>
        <w:rPr>
          <w:rFonts w:ascii="Times New Roman" w:eastAsia="仿宋_GB2312" w:hAnsi="Times New Roman" w:cs="Times New Roman" w:hint="eastAsia"/>
          <w:color w:val="000000"/>
          <w:kern w:val="0"/>
          <w:sz w:val="32"/>
          <w:szCs w:val="32"/>
          <w:shd w:val="clear" w:color="auto" w:fill="FFFFFF"/>
          <w:lang w:bidi="ar"/>
        </w:rPr>
        <w:t>一</w:t>
      </w:r>
      <w:r>
        <w:rPr>
          <w:rFonts w:ascii="Times New Roman" w:eastAsia="仿宋_GB2312" w:hAnsi="Times New Roman" w:cs="Times New Roman"/>
          <w:color w:val="000000"/>
          <w:sz w:val="32"/>
          <w:szCs w:val="32"/>
          <w:lang w:bidi="ar"/>
        </w:rPr>
        <w:t>经济合作社</w:t>
      </w: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旺村村第二经济合作社</w:t>
      </w: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第三经济合作社、</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第四经济合作社、</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第五经济合作社、</w:t>
      </w:r>
      <w:r>
        <w:rPr>
          <w:rFonts w:ascii="Times New Roman" w:eastAsia="仿宋_GB2312" w:hAnsi="Times New Roman" w:cs="Times New Roman"/>
          <w:color w:val="000000"/>
          <w:sz w:val="32"/>
          <w:szCs w:val="32"/>
          <w:lang w:bidi="ar"/>
        </w:rPr>
        <w:t>旺村村</w:t>
      </w:r>
      <w:r>
        <w:rPr>
          <w:rFonts w:ascii="Times New Roman" w:eastAsia="仿宋_GB2312" w:hAnsi="Times New Roman" w:cs="Times New Roman" w:hint="eastAsia"/>
          <w:color w:val="000000"/>
          <w:sz w:val="32"/>
          <w:szCs w:val="32"/>
          <w:lang w:bidi="ar"/>
        </w:rPr>
        <w:t>第六经济合作社范围内，具体位置详见附图。</w:t>
      </w:r>
    </w:p>
    <w:p w14:paraId="39E3CB40" w14:textId="77777777" w:rsidR="00E364A1" w:rsidRDefault="00000000">
      <w:pPr>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hint="eastAsia"/>
          <w:color w:val="000000"/>
          <w:sz w:val="32"/>
          <w:szCs w:val="32"/>
          <w:lang w:bidi="ar"/>
        </w:rPr>
        <w:t>实际征收土地范围以最终批准文件为准</w:t>
      </w:r>
      <w:r>
        <w:rPr>
          <w:rFonts w:ascii="Times New Roman" w:eastAsia="仿宋_GB2312" w:hAnsi="Times New Roman" w:cs="Times New Roman"/>
          <w:color w:val="000000"/>
          <w:sz w:val="32"/>
          <w:szCs w:val="32"/>
          <w:lang w:bidi="ar"/>
        </w:rPr>
        <w:t>。</w:t>
      </w:r>
    </w:p>
    <w:p w14:paraId="72F928E5" w14:textId="77777777" w:rsidR="00E364A1" w:rsidRDefault="00000000">
      <w:pPr>
        <w:ind w:firstLineChars="200" w:firstLine="640"/>
        <w:rPr>
          <w:rFonts w:ascii="Times New Roman" w:eastAsia="黑体" w:hAnsi="Times New Roman"/>
          <w:sz w:val="32"/>
          <w:szCs w:val="32"/>
        </w:rPr>
      </w:pPr>
      <w:r>
        <w:rPr>
          <w:rFonts w:ascii="Times New Roman" w:eastAsia="黑体" w:hAnsi="Times New Roman"/>
          <w:sz w:val="32"/>
          <w:szCs w:val="32"/>
        </w:rPr>
        <w:t>二、征收目的</w:t>
      </w:r>
    </w:p>
    <w:p w14:paraId="5BA2C071" w14:textId="77777777" w:rsidR="00E364A1" w:rsidRDefault="0000000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根据《中华人民共和国土地管理法》第四十五条的规定，</w:t>
      </w:r>
      <w:r>
        <w:rPr>
          <w:rFonts w:ascii="Times New Roman" w:eastAsia="仿宋_GB2312" w:hAnsi="Times New Roman" w:cs="Times New Roman" w:hint="eastAsia"/>
          <w:sz w:val="32"/>
          <w:szCs w:val="32"/>
        </w:rPr>
        <w:lastRenderedPageBreak/>
        <w:t>本次征收土地目的为在土地利用总体规划确定的城镇建设用地范围内，经省级以上人民政府批准由县级以上地方人民政府组织实施的成片开发建设需要用地。</w:t>
      </w:r>
    </w:p>
    <w:p w14:paraId="0DBD9495" w14:textId="77777777" w:rsidR="00E364A1" w:rsidRDefault="00000000">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土地现状</w:t>
      </w:r>
    </w:p>
    <w:p w14:paraId="3CF9D053" w14:textId="77777777" w:rsidR="00E364A1" w:rsidRDefault="00000000">
      <w:pPr>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根据拟征收土地现状调查结果，拟征收土地现状为：</w:t>
      </w:r>
    </w:p>
    <w:p w14:paraId="56B9E2D5" w14:textId="77777777" w:rsidR="00E364A1" w:rsidRDefault="00000000">
      <w:pPr>
        <w:ind w:firstLineChars="200" w:firstLine="640"/>
        <w:jc w:val="right"/>
        <w:rPr>
          <w:rFonts w:ascii="Times New Roman" w:eastAsia="仿宋_GB2312" w:hAnsi="Times New Roman"/>
          <w:bCs/>
          <w:sz w:val="32"/>
          <w:szCs w:val="32"/>
        </w:rPr>
      </w:pPr>
      <w:r>
        <w:rPr>
          <w:rFonts w:ascii="Times New Roman" w:eastAsia="仿宋_GB2312" w:hAnsi="Times New Roman" w:hint="eastAsia"/>
          <w:bCs/>
          <w:sz w:val="32"/>
          <w:szCs w:val="32"/>
        </w:rPr>
        <w:t>单位：公顷</w:t>
      </w:r>
    </w:p>
    <w:tbl>
      <w:tblPr>
        <w:tblW w:w="5000" w:type="pct"/>
        <w:tblLook w:val="04A0" w:firstRow="1" w:lastRow="0" w:firstColumn="1" w:lastColumn="0" w:noHBand="0" w:noVBand="1"/>
      </w:tblPr>
      <w:tblGrid>
        <w:gridCol w:w="3086"/>
        <w:gridCol w:w="1171"/>
        <w:gridCol w:w="1171"/>
        <w:gridCol w:w="914"/>
        <w:gridCol w:w="1278"/>
        <w:gridCol w:w="1328"/>
      </w:tblGrid>
      <w:tr w:rsidR="00E364A1" w14:paraId="17AE262C" w14:textId="77777777" w:rsidTr="00DD397E">
        <w:trPr>
          <w:trHeight w:val="680"/>
        </w:trPr>
        <w:tc>
          <w:tcPr>
            <w:tcW w:w="1724" w:type="pct"/>
            <w:tcBorders>
              <w:top w:val="single" w:sz="8" w:space="0" w:color="auto"/>
              <w:left w:val="single" w:sz="8" w:space="0" w:color="auto"/>
              <w:bottom w:val="single" w:sz="8" w:space="0" w:color="auto"/>
              <w:right w:val="single" w:sz="8" w:space="0" w:color="auto"/>
            </w:tcBorders>
            <w:shd w:val="clear" w:color="auto" w:fill="auto"/>
            <w:vAlign w:val="center"/>
          </w:tcPr>
          <w:p w14:paraId="343FE7B0"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被征地单位</w:t>
            </w:r>
          </w:p>
        </w:tc>
        <w:tc>
          <w:tcPr>
            <w:tcW w:w="654" w:type="pct"/>
            <w:tcBorders>
              <w:top w:val="single" w:sz="8" w:space="0" w:color="auto"/>
              <w:left w:val="nil"/>
              <w:bottom w:val="single" w:sz="8" w:space="0" w:color="auto"/>
              <w:right w:val="single" w:sz="8" w:space="0" w:color="auto"/>
            </w:tcBorders>
            <w:shd w:val="clear" w:color="auto" w:fill="auto"/>
            <w:vAlign w:val="center"/>
          </w:tcPr>
          <w:p w14:paraId="12A80A68"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总面积</w:t>
            </w:r>
          </w:p>
        </w:tc>
        <w:tc>
          <w:tcPr>
            <w:tcW w:w="654" w:type="pct"/>
            <w:tcBorders>
              <w:top w:val="single" w:sz="8" w:space="0" w:color="auto"/>
              <w:left w:val="nil"/>
              <w:bottom w:val="single" w:sz="8" w:space="0" w:color="auto"/>
              <w:right w:val="single" w:sz="8" w:space="0" w:color="auto"/>
            </w:tcBorders>
            <w:shd w:val="clear" w:color="auto" w:fill="auto"/>
            <w:vAlign w:val="center"/>
          </w:tcPr>
          <w:p w14:paraId="53A3E57D"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农用地面积</w:t>
            </w:r>
          </w:p>
        </w:tc>
        <w:tc>
          <w:tcPr>
            <w:tcW w:w="511" w:type="pct"/>
            <w:tcBorders>
              <w:top w:val="single" w:sz="8" w:space="0" w:color="auto"/>
              <w:left w:val="nil"/>
              <w:bottom w:val="single" w:sz="8" w:space="0" w:color="auto"/>
              <w:right w:val="single" w:sz="8" w:space="0" w:color="auto"/>
            </w:tcBorders>
            <w:shd w:val="clear" w:color="auto" w:fill="auto"/>
            <w:vAlign w:val="center"/>
          </w:tcPr>
          <w:p w14:paraId="51A7BE9B"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耕地面积</w:t>
            </w:r>
          </w:p>
        </w:tc>
        <w:tc>
          <w:tcPr>
            <w:tcW w:w="714" w:type="pct"/>
            <w:tcBorders>
              <w:top w:val="single" w:sz="8" w:space="0" w:color="auto"/>
              <w:left w:val="nil"/>
              <w:bottom w:val="single" w:sz="8" w:space="0" w:color="auto"/>
              <w:right w:val="single" w:sz="8" w:space="0" w:color="auto"/>
            </w:tcBorders>
            <w:shd w:val="clear" w:color="auto" w:fill="auto"/>
            <w:vAlign w:val="center"/>
          </w:tcPr>
          <w:p w14:paraId="2B48241D"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建设用地面积</w:t>
            </w:r>
          </w:p>
        </w:tc>
        <w:tc>
          <w:tcPr>
            <w:tcW w:w="742" w:type="pct"/>
            <w:tcBorders>
              <w:top w:val="single" w:sz="8" w:space="0" w:color="auto"/>
              <w:left w:val="nil"/>
              <w:bottom w:val="single" w:sz="8" w:space="0" w:color="auto"/>
              <w:right w:val="single" w:sz="8" w:space="0" w:color="auto"/>
            </w:tcBorders>
            <w:shd w:val="clear" w:color="auto" w:fill="auto"/>
            <w:vAlign w:val="center"/>
          </w:tcPr>
          <w:p w14:paraId="099E4448"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未利用地面积</w:t>
            </w:r>
          </w:p>
        </w:tc>
      </w:tr>
      <w:tr w:rsidR="00DD397E" w14:paraId="4FB9B83E" w14:textId="77777777" w:rsidTr="00DD397E">
        <w:trPr>
          <w:trHeight w:val="680"/>
        </w:trPr>
        <w:tc>
          <w:tcPr>
            <w:tcW w:w="1724" w:type="pct"/>
            <w:tcBorders>
              <w:top w:val="nil"/>
              <w:left w:val="single" w:sz="8" w:space="0" w:color="auto"/>
              <w:bottom w:val="single" w:sz="8" w:space="0" w:color="auto"/>
              <w:right w:val="single" w:sz="8" w:space="0" w:color="auto"/>
            </w:tcBorders>
            <w:shd w:val="clear" w:color="auto" w:fill="auto"/>
            <w:vAlign w:val="center"/>
          </w:tcPr>
          <w:p w14:paraId="003EDBEF"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旺村村第三经济合作社</w:t>
            </w:r>
          </w:p>
          <w:p w14:paraId="06881AB9"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旺村村第四经济合作社</w:t>
            </w:r>
          </w:p>
          <w:p w14:paraId="0EFB1950" w14:textId="2E75D5D8"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（共有）</w:t>
            </w:r>
          </w:p>
        </w:tc>
        <w:tc>
          <w:tcPr>
            <w:tcW w:w="654" w:type="pct"/>
            <w:tcBorders>
              <w:top w:val="nil"/>
              <w:left w:val="nil"/>
              <w:bottom w:val="single" w:sz="8" w:space="0" w:color="auto"/>
              <w:right w:val="single" w:sz="8" w:space="0" w:color="auto"/>
            </w:tcBorders>
            <w:shd w:val="clear" w:color="auto" w:fill="auto"/>
            <w:vAlign w:val="center"/>
          </w:tcPr>
          <w:p w14:paraId="5206D5CC"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0.042</w:t>
            </w:r>
            <w:r>
              <w:rPr>
                <w:rFonts w:ascii="Times New Roman" w:eastAsia="等线" w:hAnsi="Times New Roman" w:cs="Times New Roman" w:hint="eastAsia"/>
                <w:color w:val="000000"/>
                <w:kern w:val="0"/>
                <w:sz w:val="24"/>
                <w:szCs w:val="24"/>
              </w:rPr>
              <w:t>7</w:t>
            </w:r>
          </w:p>
        </w:tc>
        <w:tc>
          <w:tcPr>
            <w:tcW w:w="654" w:type="pct"/>
            <w:tcBorders>
              <w:top w:val="nil"/>
              <w:left w:val="nil"/>
              <w:bottom w:val="single" w:sz="8" w:space="0" w:color="auto"/>
              <w:right w:val="single" w:sz="8" w:space="0" w:color="auto"/>
            </w:tcBorders>
            <w:shd w:val="clear" w:color="auto" w:fill="auto"/>
            <w:vAlign w:val="center"/>
          </w:tcPr>
          <w:p w14:paraId="6B44D4BD"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0.0021</w:t>
            </w:r>
          </w:p>
        </w:tc>
        <w:tc>
          <w:tcPr>
            <w:tcW w:w="511" w:type="pct"/>
            <w:tcBorders>
              <w:top w:val="nil"/>
              <w:left w:val="nil"/>
              <w:bottom w:val="single" w:sz="8" w:space="0" w:color="auto"/>
              <w:right w:val="single" w:sz="8" w:space="0" w:color="auto"/>
            </w:tcBorders>
            <w:shd w:val="clear" w:color="auto" w:fill="auto"/>
            <w:vAlign w:val="center"/>
          </w:tcPr>
          <w:p w14:paraId="4AA24A80"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c>
          <w:tcPr>
            <w:tcW w:w="714" w:type="pct"/>
            <w:tcBorders>
              <w:top w:val="nil"/>
              <w:left w:val="nil"/>
              <w:bottom w:val="single" w:sz="8" w:space="0" w:color="auto"/>
              <w:right w:val="single" w:sz="8" w:space="0" w:color="auto"/>
            </w:tcBorders>
            <w:shd w:val="clear" w:color="auto" w:fill="auto"/>
            <w:vAlign w:val="center"/>
          </w:tcPr>
          <w:p w14:paraId="4F10E372"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0.040</w:t>
            </w:r>
            <w:r>
              <w:rPr>
                <w:rFonts w:ascii="Times New Roman" w:eastAsia="等线" w:hAnsi="Times New Roman" w:cs="Times New Roman" w:hint="eastAsia"/>
                <w:color w:val="000000"/>
                <w:kern w:val="0"/>
                <w:sz w:val="24"/>
                <w:szCs w:val="24"/>
              </w:rPr>
              <w:t>6</w:t>
            </w:r>
          </w:p>
        </w:tc>
        <w:tc>
          <w:tcPr>
            <w:tcW w:w="742" w:type="pct"/>
            <w:tcBorders>
              <w:top w:val="nil"/>
              <w:left w:val="nil"/>
              <w:bottom w:val="single" w:sz="8" w:space="0" w:color="auto"/>
              <w:right w:val="single" w:sz="8" w:space="0" w:color="auto"/>
            </w:tcBorders>
            <w:shd w:val="clear" w:color="auto" w:fill="auto"/>
            <w:vAlign w:val="center"/>
          </w:tcPr>
          <w:p w14:paraId="55F2692D"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r>
      <w:tr w:rsidR="00DD397E" w14:paraId="2383ED6C" w14:textId="77777777" w:rsidTr="00DD397E">
        <w:trPr>
          <w:trHeight w:val="680"/>
        </w:trPr>
        <w:tc>
          <w:tcPr>
            <w:tcW w:w="1724" w:type="pct"/>
            <w:tcBorders>
              <w:top w:val="nil"/>
              <w:left w:val="single" w:sz="8" w:space="0" w:color="auto"/>
              <w:bottom w:val="single" w:sz="8" w:space="0" w:color="auto"/>
              <w:right w:val="single" w:sz="8" w:space="0" w:color="auto"/>
            </w:tcBorders>
            <w:shd w:val="clear" w:color="auto" w:fill="auto"/>
            <w:vAlign w:val="center"/>
          </w:tcPr>
          <w:p w14:paraId="130B255F"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旺村村第五经济合作社</w:t>
            </w:r>
          </w:p>
          <w:p w14:paraId="2DA55E4B"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旺村村第六经济合作社</w:t>
            </w:r>
          </w:p>
          <w:p w14:paraId="22DDF4A6" w14:textId="3C1F203D"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（共有）</w:t>
            </w:r>
          </w:p>
        </w:tc>
        <w:tc>
          <w:tcPr>
            <w:tcW w:w="654" w:type="pct"/>
            <w:tcBorders>
              <w:top w:val="nil"/>
              <w:left w:val="nil"/>
              <w:bottom w:val="single" w:sz="8" w:space="0" w:color="auto"/>
              <w:right w:val="single" w:sz="8" w:space="0" w:color="auto"/>
            </w:tcBorders>
            <w:shd w:val="clear" w:color="auto" w:fill="auto"/>
            <w:vAlign w:val="center"/>
          </w:tcPr>
          <w:p w14:paraId="37FF3AC7"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0.0140</w:t>
            </w:r>
          </w:p>
        </w:tc>
        <w:tc>
          <w:tcPr>
            <w:tcW w:w="654" w:type="pct"/>
            <w:tcBorders>
              <w:top w:val="nil"/>
              <w:left w:val="nil"/>
              <w:bottom w:val="single" w:sz="8" w:space="0" w:color="auto"/>
              <w:right w:val="single" w:sz="8" w:space="0" w:color="auto"/>
            </w:tcBorders>
            <w:shd w:val="clear" w:color="auto" w:fill="auto"/>
            <w:vAlign w:val="center"/>
          </w:tcPr>
          <w:p w14:paraId="557EC027"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c>
          <w:tcPr>
            <w:tcW w:w="511" w:type="pct"/>
            <w:tcBorders>
              <w:top w:val="nil"/>
              <w:left w:val="nil"/>
              <w:bottom w:val="single" w:sz="8" w:space="0" w:color="auto"/>
              <w:right w:val="single" w:sz="8" w:space="0" w:color="auto"/>
            </w:tcBorders>
            <w:shd w:val="clear" w:color="auto" w:fill="auto"/>
            <w:vAlign w:val="center"/>
          </w:tcPr>
          <w:p w14:paraId="7A9E8C87"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c>
          <w:tcPr>
            <w:tcW w:w="714" w:type="pct"/>
            <w:tcBorders>
              <w:top w:val="nil"/>
              <w:left w:val="nil"/>
              <w:bottom w:val="single" w:sz="8" w:space="0" w:color="auto"/>
              <w:right w:val="single" w:sz="8" w:space="0" w:color="auto"/>
            </w:tcBorders>
            <w:shd w:val="clear" w:color="auto" w:fill="auto"/>
            <w:vAlign w:val="center"/>
          </w:tcPr>
          <w:p w14:paraId="2F821A9E"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0.0140</w:t>
            </w:r>
          </w:p>
        </w:tc>
        <w:tc>
          <w:tcPr>
            <w:tcW w:w="742" w:type="pct"/>
            <w:tcBorders>
              <w:top w:val="nil"/>
              <w:left w:val="nil"/>
              <w:bottom w:val="single" w:sz="8" w:space="0" w:color="auto"/>
              <w:right w:val="single" w:sz="8" w:space="0" w:color="auto"/>
            </w:tcBorders>
            <w:shd w:val="clear" w:color="auto" w:fill="auto"/>
            <w:vAlign w:val="center"/>
          </w:tcPr>
          <w:p w14:paraId="2D43F7BE"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r>
      <w:tr w:rsidR="00DD397E" w14:paraId="620BE7B3" w14:textId="77777777" w:rsidTr="00DD397E">
        <w:trPr>
          <w:trHeight w:val="680"/>
        </w:trPr>
        <w:tc>
          <w:tcPr>
            <w:tcW w:w="1724" w:type="pct"/>
            <w:tcBorders>
              <w:top w:val="nil"/>
              <w:left w:val="single" w:sz="8" w:space="0" w:color="auto"/>
              <w:bottom w:val="single" w:sz="8" w:space="0" w:color="auto"/>
              <w:right w:val="single" w:sz="8" w:space="0" w:color="auto"/>
            </w:tcBorders>
            <w:shd w:val="clear" w:color="auto" w:fill="auto"/>
            <w:vAlign w:val="center"/>
          </w:tcPr>
          <w:p w14:paraId="43F9813E"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旺村村第一经济合作社</w:t>
            </w:r>
          </w:p>
          <w:p w14:paraId="55DFFEF7"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旺村村第二经济合作社</w:t>
            </w:r>
          </w:p>
          <w:p w14:paraId="0D452299"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旺村村第三经济合作社</w:t>
            </w:r>
          </w:p>
          <w:p w14:paraId="304D0B65" w14:textId="77777777"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旺村村第四经济合作社</w:t>
            </w:r>
          </w:p>
          <w:p w14:paraId="173800F5" w14:textId="16BAE3EE" w:rsidR="00DD397E" w:rsidRDefault="00DD397E" w:rsidP="00DD397E">
            <w:pPr>
              <w:widowControl/>
              <w:jc w:val="center"/>
              <w:rPr>
                <w:rFonts w:ascii="仿宋_GB2312" w:eastAsia="仿宋_GB2312" w:hAnsi="等线" w:cs="宋体"/>
                <w:color w:val="000000"/>
                <w:kern w:val="0"/>
                <w:sz w:val="22"/>
              </w:rPr>
            </w:pPr>
            <w:r>
              <w:rPr>
                <w:rFonts w:ascii="仿宋_GB2312" w:eastAsia="仿宋_GB2312" w:hAnsi="等线" w:cs="宋体" w:hint="eastAsia"/>
                <w:color w:val="000000"/>
                <w:kern w:val="0"/>
                <w:sz w:val="22"/>
              </w:rPr>
              <w:t>（共有）</w:t>
            </w:r>
          </w:p>
        </w:tc>
        <w:tc>
          <w:tcPr>
            <w:tcW w:w="654" w:type="pct"/>
            <w:tcBorders>
              <w:top w:val="nil"/>
              <w:left w:val="nil"/>
              <w:bottom w:val="single" w:sz="8" w:space="0" w:color="auto"/>
              <w:right w:val="single" w:sz="8" w:space="0" w:color="auto"/>
            </w:tcBorders>
            <w:shd w:val="clear" w:color="auto" w:fill="auto"/>
            <w:vAlign w:val="center"/>
          </w:tcPr>
          <w:p w14:paraId="5A897DBC"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0.122</w:t>
            </w:r>
            <w:r>
              <w:rPr>
                <w:rFonts w:ascii="Times New Roman" w:eastAsia="等线" w:hAnsi="Times New Roman" w:cs="Times New Roman" w:hint="eastAsia"/>
                <w:color w:val="000000"/>
                <w:kern w:val="0"/>
                <w:sz w:val="24"/>
                <w:szCs w:val="24"/>
              </w:rPr>
              <w:t>2</w:t>
            </w:r>
          </w:p>
        </w:tc>
        <w:tc>
          <w:tcPr>
            <w:tcW w:w="654" w:type="pct"/>
            <w:tcBorders>
              <w:top w:val="nil"/>
              <w:left w:val="nil"/>
              <w:bottom w:val="single" w:sz="8" w:space="0" w:color="auto"/>
              <w:right w:val="single" w:sz="8" w:space="0" w:color="auto"/>
            </w:tcBorders>
            <w:shd w:val="clear" w:color="auto" w:fill="auto"/>
            <w:vAlign w:val="center"/>
          </w:tcPr>
          <w:p w14:paraId="67A9811E"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hint="eastAsia"/>
                <w:color w:val="000000"/>
                <w:kern w:val="0"/>
                <w:sz w:val="24"/>
                <w:szCs w:val="24"/>
              </w:rPr>
              <w:t>0</w:t>
            </w:r>
          </w:p>
        </w:tc>
        <w:tc>
          <w:tcPr>
            <w:tcW w:w="511" w:type="pct"/>
            <w:tcBorders>
              <w:top w:val="nil"/>
              <w:left w:val="nil"/>
              <w:bottom w:val="single" w:sz="8" w:space="0" w:color="auto"/>
              <w:right w:val="single" w:sz="8" w:space="0" w:color="auto"/>
            </w:tcBorders>
            <w:shd w:val="clear" w:color="auto" w:fill="auto"/>
            <w:vAlign w:val="center"/>
          </w:tcPr>
          <w:p w14:paraId="6CCB4459"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c>
          <w:tcPr>
            <w:tcW w:w="714" w:type="pct"/>
            <w:tcBorders>
              <w:top w:val="nil"/>
              <w:left w:val="nil"/>
              <w:bottom w:val="single" w:sz="8" w:space="0" w:color="auto"/>
              <w:right w:val="single" w:sz="8" w:space="0" w:color="auto"/>
            </w:tcBorders>
            <w:shd w:val="clear" w:color="auto" w:fill="auto"/>
            <w:vAlign w:val="center"/>
          </w:tcPr>
          <w:p w14:paraId="4D09EC1D"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0.122</w:t>
            </w:r>
            <w:r>
              <w:rPr>
                <w:rFonts w:ascii="Times New Roman" w:eastAsia="等线" w:hAnsi="Times New Roman" w:cs="Times New Roman" w:hint="eastAsia"/>
                <w:color w:val="000000"/>
                <w:kern w:val="0"/>
                <w:sz w:val="24"/>
                <w:szCs w:val="24"/>
              </w:rPr>
              <w:t>2</w:t>
            </w:r>
          </w:p>
        </w:tc>
        <w:tc>
          <w:tcPr>
            <w:tcW w:w="742" w:type="pct"/>
            <w:tcBorders>
              <w:top w:val="nil"/>
              <w:left w:val="nil"/>
              <w:bottom w:val="single" w:sz="8" w:space="0" w:color="auto"/>
              <w:right w:val="single" w:sz="8" w:space="0" w:color="auto"/>
            </w:tcBorders>
            <w:shd w:val="clear" w:color="auto" w:fill="auto"/>
            <w:vAlign w:val="center"/>
          </w:tcPr>
          <w:p w14:paraId="10B3F007" w14:textId="77777777" w:rsidR="00DD397E" w:rsidRDefault="00DD397E" w:rsidP="00DD397E">
            <w:pPr>
              <w:widowControl/>
              <w:jc w:val="center"/>
              <w:rPr>
                <w:rFonts w:ascii="Times New Roman" w:eastAsia="等线" w:hAnsi="Times New Roman" w:cs="Times New Roman"/>
                <w:color w:val="000000"/>
                <w:kern w:val="0"/>
                <w:sz w:val="24"/>
                <w:szCs w:val="24"/>
              </w:rPr>
            </w:pPr>
            <w:r>
              <w:rPr>
                <w:rFonts w:ascii="Times New Roman" w:eastAsia="等线" w:hAnsi="Times New Roman" w:cs="Times New Roman"/>
                <w:color w:val="000000"/>
                <w:kern w:val="0"/>
                <w:sz w:val="24"/>
                <w:szCs w:val="24"/>
              </w:rPr>
              <w:t>0</w:t>
            </w:r>
          </w:p>
        </w:tc>
      </w:tr>
      <w:tr w:rsidR="00E364A1" w14:paraId="683E6D4A" w14:textId="77777777" w:rsidTr="00DD397E">
        <w:trPr>
          <w:trHeight w:val="680"/>
        </w:trPr>
        <w:tc>
          <w:tcPr>
            <w:tcW w:w="1724" w:type="pct"/>
            <w:tcBorders>
              <w:top w:val="nil"/>
              <w:left w:val="single" w:sz="8" w:space="0" w:color="auto"/>
              <w:bottom w:val="single" w:sz="8" w:space="0" w:color="auto"/>
              <w:right w:val="single" w:sz="8" w:space="0" w:color="auto"/>
            </w:tcBorders>
            <w:shd w:val="clear" w:color="auto" w:fill="auto"/>
            <w:vAlign w:val="center"/>
          </w:tcPr>
          <w:p w14:paraId="7DC4AFD7" w14:textId="77777777" w:rsidR="00E364A1" w:rsidRDefault="00000000">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合计</w:t>
            </w:r>
          </w:p>
        </w:tc>
        <w:tc>
          <w:tcPr>
            <w:tcW w:w="654" w:type="pct"/>
            <w:tcBorders>
              <w:top w:val="nil"/>
              <w:left w:val="nil"/>
              <w:bottom w:val="single" w:sz="8" w:space="0" w:color="auto"/>
              <w:right w:val="single" w:sz="8" w:space="0" w:color="auto"/>
            </w:tcBorders>
            <w:shd w:val="clear" w:color="auto" w:fill="auto"/>
            <w:vAlign w:val="center"/>
          </w:tcPr>
          <w:p w14:paraId="7D9AC7EF" w14:textId="77777777" w:rsidR="00E364A1" w:rsidRDefault="00000000">
            <w:pPr>
              <w:widowControl/>
              <w:jc w:val="center"/>
              <w:rPr>
                <w:rFonts w:ascii="Times New Roman" w:eastAsia="等线" w:hAnsi="Times New Roman" w:cs="Times New Roman"/>
                <w:b/>
                <w:bCs/>
                <w:color w:val="000000"/>
                <w:kern w:val="0"/>
                <w:sz w:val="24"/>
                <w:szCs w:val="24"/>
              </w:rPr>
            </w:pPr>
            <w:r>
              <w:rPr>
                <w:rFonts w:ascii="Times New Roman" w:eastAsia="等线" w:hAnsi="Times New Roman" w:cs="Times New Roman"/>
                <w:b/>
                <w:bCs/>
                <w:color w:val="000000"/>
                <w:kern w:val="0"/>
                <w:sz w:val="24"/>
                <w:szCs w:val="24"/>
              </w:rPr>
              <w:t>0.17</w:t>
            </w:r>
            <w:r>
              <w:rPr>
                <w:rFonts w:ascii="Times New Roman" w:eastAsia="等线" w:hAnsi="Times New Roman" w:cs="Times New Roman" w:hint="eastAsia"/>
                <w:b/>
                <w:bCs/>
                <w:color w:val="000000"/>
                <w:kern w:val="0"/>
                <w:sz w:val="24"/>
                <w:szCs w:val="24"/>
              </w:rPr>
              <w:t>89</w:t>
            </w:r>
          </w:p>
        </w:tc>
        <w:tc>
          <w:tcPr>
            <w:tcW w:w="654" w:type="pct"/>
            <w:tcBorders>
              <w:top w:val="nil"/>
              <w:left w:val="nil"/>
              <w:bottom w:val="single" w:sz="8" w:space="0" w:color="auto"/>
              <w:right w:val="single" w:sz="8" w:space="0" w:color="auto"/>
            </w:tcBorders>
            <w:shd w:val="clear" w:color="auto" w:fill="auto"/>
            <w:vAlign w:val="center"/>
          </w:tcPr>
          <w:p w14:paraId="35F50D57" w14:textId="77777777" w:rsidR="00E364A1" w:rsidRDefault="00000000">
            <w:pPr>
              <w:widowControl/>
              <w:jc w:val="center"/>
              <w:rPr>
                <w:rFonts w:ascii="Times New Roman" w:eastAsia="等线" w:hAnsi="Times New Roman" w:cs="Times New Roman"/>
                <w:b/>
                <w:bCs/>
                <w:color w:val="000000"/>
                <w:kern w:val="0"/>
                <w:sz w:val="24"/>
                <w:szCs w:val="24"/>
              </w:rPr>
            </w:pPr>
            <w:r>
              <w:rPr>
                <w:rFonts w:ascii="Times New Roman" w:eastAsia="等线" w:hAnsi="Times New Roman" w:cs="Times New Roman"/>
                <w:b/>
                <w:bCs/>
                <w:color w:val="000000"/>
                <w:kern w:val="0"/>
                <w:sz w:val="24"/>
                <w:szCs w:val="24"/>
              </w:rPr>
              <w:t>0.002</w:t>
            </w:r>
            <w:r>
              <w:rPr>
                <w:rFonts w:ascii="Times New Roman" w:eastAsia="等线" w:hAnsi="Times New Roman" w:cs="Times New Roman" w:hint="eastAsia"/>
                <w:b/>
                <w:bCs/>
                <w:color w:val="000000"/>
                <w:kern w:val="0"/>
                <w:sz w:val="24"/>
                <w:szCs w:val="24"/>
              </w:rPr>
              <w:t>1</w:t>
            </w:r>
          </w:p>
        </w:tc>
        <w:tc>
          <w:tcPr>
            <w:tcW w:w="511" w:type="pct"/>
            <w:tcBorders>
              <w:top w:val="nil"/>
              <w:left w:val="nil"/>
              <w:bottom w:val="single" w:sz="8" w:space="0" w:color="auto"/>
              <w:right w:val="single" w:sz="8" w:space="0" w:color="auto"/>
            </w:tcBorders>
            <w:shd w:val="clear" w:color="auto" w:fill="auto"/>
            <w:vAlign w:val="center"/>
          </w:tcPr>
          <w:p w14:paraId="150DA3A4" w14:textId="77777777" w:rsidR="00E364A1" w:rsidRDefault="00000000">
            <w:pPr>
              <w:widowControl/>
              <w:jc w:val="center"/>
              <w:rPr>
                <w:rFonts w:ascii="Times New Roman" w:eastAsia="等线" w:hAnsi="Times New Roman" w:cs="Times New Roman"/>
                <w:b/>
                <w:bCs/>
                <w:color w:val="000000"/>
                <w:kern w:val="0"/>
                <w:sz w:val="24"/>
                <w:szCs w:val="24"/>
              </w:rPr>
            </w:pPr>
            <w:r>
              <w:rPr>
                <w:rFonts w:ascii="Times New Roman" w:eastAsia="等线" w:hAnsi="Times New Roman" w:cs="Times New Roman"/>
                <w:b/>
                <w:bCs/>
                <w:color w:val="000000"/>
                <w:kern w:val="0"/>
                <w:sz w:val="24"/>
                <w:szCs w:val="24"/>
              </w:rPr>
              <w:t>0</w:t>
            </w:r>
          </w:p>
        </w:tc>
        <w:tc>
          <w:tcPr>
            <w:tcW w:w="714" w:type="pct"/>
            <w:tcBorders>
              <w:top w:val="nil"/>
              <w:left w:val="nil"/>
              <w:bottom w:val="single" w:sz="8" w:space="0" w:color="auto"/>
              <w:right w:val="single" w:sz="8" w:space="0" w:color="auto"/>
            </w:tcBorders>
            <w:shd w:val="clear" w:color="auto" w:fill="auto"/>
            <w:vAlign w:val="center"/>
          </w:tcPr>
          <w:p w14:paraId="474B86AC" w14:textId="77777777" w:rsidR="00E364A1" w:rsidRDefault="00000000">
            <w:pPr>
              <w:widowControl/>
              <w:jc w:val="center"/>
              <w:rPr>
                <w:rFonts w:ascii="Times New Roman" w:eastAsia="等线" w:hAnsi="Times New Roman" w:cs="Times New Roman"/>
                <w:b/>
                <w:bCs/>
                <w:color w:val="000000"/>
                <w:kern w:val="0"/>
                <w:sz w:val="24"/>
                <w:szCs w:val="24"/>
              </w:rPr>
            </w:pPr>
            <w:r>
              <w:rPr>
                <w:rFonts w:ascii="Times New Roman" w:eastAsia="等线" w:hAnsi="Times New Roman" w:cs="Times New Roman"/>
                <w:b/>
                <w:bCs/>
                <w:color w:val="000000"/>
                <w:kern w:val="0"/>
                <w:sz w:val="24"/>
                <w:szCs w:val="24"/>
              </w:rPr>
              <w:t>0.17</w:t>
            </w:r>
            <w:r>
              <w:rPr>
                <w:rFonts w:ascii="Times New Roman" w:eastAsia="等线" w:hAnsi="Times New Roman" w:cs="Times New Roman" w:hint="eastAsia"/>
                <w:b/>
                <w:bCs/>
                <w:color w:val="000000"/>
                <w:kern w:val="0"/>
                <w:sz w:val="24"/>
                <w:szCs w:val="24"/>
              </w:rPr>
              <w:t>68</w:t>
            </w:r>
          </w:p>
        </w:tc>
        <w:tc>
          <w:tcPr>
            <w:tcW w:w="742" w:type="pct"/>
            <w:tcBorders>
              <w:top w:val="nil"/>
              <w:left w:val="nil"/>
              <w:bottom w:val="single" w:sz="8" w:space="0" w:color="auto"/>
              <w:right w:val="single" w:sz="8" w:space="0" w:color="auto"/>
            </w:tcBorders>
            <w:shd w:val="clear" w:color="auto" w:fill="auto"/>
            <w:vAlign w:val="center"/>
          </w:tcPr>
          <w:p w14:paraId="377A41E3" w14:textId="77777777" w:rsidR="00E364A1" w:rsidRDefault="00000000">
            <w:pPr>
              <w:widowControl/>
              <w:jc w:val="center"/>
              <w:rPr>
                <w:rFonts w:ascii="Times New Roman" w:eastAsia="等线" w:hAnsi="Times New Roman" w:cs="Times New Roman"/>
                <w:b/>
                <w:bCs/>
                <w:color w:val="000000"/>
                <w:kern w:val="0"/>
                <w:sz w:val="24"/>
                <w:szCs w:val="24"/>
              </w:rPr>
            </w:pPr>
            <w:r>
              <w:rPr>
                <w:rFonts w:ascii="Times New Roman" w:eastAsia="等线" w:hAnsi="Times New Roman" w:cs="Times New Roman"/>
                <w:b/>
                <w:bCs/>
                <w:color w:val="000000"/>
                <w:kern w:val="0"/>
                <w:sz w:val="24"/>
                <w:szCs w:val="24"/>
              </w:rPr>
              <w:t>0</w:t>
            </w:r>
          </w:p>
        </w:tc>
      </w:tr>
    </w:tbl>
    <w:p w14:paraId="3DF3A931" w14:textId="77777777" w:rsidR="00E364A1" w:rsidRDefault="00000000">
      <w:pPr>
        <w:ind w:firstLineChars="200" w:firstLine="640"/>
        <w:rPr>
          <w:rFonts w:ascii="Times New Roman" w:eastAsia="黑体" w:hAnsi="Times New Roman"/>
          <w:sz w:val="32"/>
          <w:szCs w:val="32"/>
        </w:rPr>
      </w:pPr>
      <w:r>
        <w:rPr>
          <w:rFonts w:ascii="Times New Roman" w:eastAsia="黑体" w:hAnsi="Times New Roman"/>
          <w:sz w:val="32"/>
          <w:szCs w:val="32"/>
        </w:rPr>
        <w:t>四、补偿方式和标准</w:t>
      </w:r>
    </w:p>
    <w:p w14:paraId="47AE9990" w14:textId="77777777" w:rsidR="00E364A1" w:rsidRDefault="00000000">
      <w:pPr>
        <w:numPr>
          <w:ilvl w:val="255"/>
          <w:numId w:val="0"/>
        </w:numPr>
        <w:ind w:firstLineChars="200" w:firstLine="640"/>
        <w:rPr>
          <w:rFonts w:ascii="Times New Roman" w:eastAsia="仿宋_GB2312" w:hAnsi="Times New Roman"/>
          <w:sz w:val="32"/>
          <w:szCs w:val="32"/>
        </w:rPr>
      </w:pPr>
      <w:r>
        <w:rPr>
          <w:rFonts w:ascii="Times New Roman" w:eastAsia="仿宋_GB2312" w:hAnsi="Times New Roman"/>
          <w:sz w:val="32"/>
          <w:szCs w:val="32"/>
        </w:rPr>
        <w:t>（一）土地补偿费和安置补助费标准</w:t>
      </w:r>
    </w:p>
    <w:p w14:paraId="1045FE36" w14:textId="77777777" w:rsidR="00E364A1" w:rsidRDefault="00000000">
      <w:pPr>
        <w:numPr>
          <w:ilvl w:val="255"/>
          <w:numId w:val="0"/>
        </w:numPr>
        <w:ind w:firstLineChars="200" w:firstLine="640"/>
        <w:rPr>
          <w:rFonts w:ascii="Times New Roman" w:eastAsia="仿宋_GB2312" w:hAnsi="Times New Roman"/>
          <w:sz w:val="32"/>
        </w:rPr>
      </w:pPr>
      <w:r>
        <w:rPr>
          <w:rFonts w:ascii="Times New Roman" w:eastAsia="仿宋_GB2312" w:hAnsi="Times New Roman"/>
          <w:sz w:val="32"/>
        </w:rPr>
        <w:t>根据《广东省自然资源厅关于广州市征收农用地区片综合地价成果的批复》（粤自然资函〔</w:t>
      </w:r>
      <w:r>
        <w:rPr>
          <w:rFonts w:ascii="Times New Roman" w:eastAsia="仿宋_GB2312" w:hAnsi="Times New Roman"/>
          <w:sz w:val="32"/>
        </w:rPr>
        <w:t>2021</w:t>
      </w:r>
      <w:r>
        <w:rPr>
          <w:rFonts w:ascii="Times New Roman" w:eastAsia="仿宋_GB2312" w:hAnsi="Times New Roman"/>
          <w:sz w:val="32"/>
        </w:rPr>
        <w:t>〕</w:t>
      </w:r>
      <w:r>
        <w:rPr>
          <w:rFonts w:ascii="Times New Roman" w:eastAsia="仿宋_GB2312" w:hAnsi="Times New Roman"/>
          <w:sz w:val="32"/>
        </w:rPr>
        <w:t>196</w:t>
      </w:r>
      <w:r>
        <w:rPr>
          <w:rFonts w:ascii="Times New Roman" w:eastAsia="仿宋_GB2312" w:hAnsi="Times New Roman"/>
          <w:sz w:val="32"/>
        </w:rPr>
        <w:t>号）的规定，土地补偿标准为</w:t>
      </w:r>
      <w:r>
        <w:rPr>
          <w:rFonts w:ascii="Times New Roman" w:eastAsia="仿宋_GB2312" w:hAnsi="Times New Roman"/>
          <w:sz w:val="32"/>
        </w:rPr>
        <w:t>70.2</w:t>
      </w:r>
      <w:r>
        <w:rPr>
          <w:rFonts w:ascii="Times New Roman" w:eastAsia="仿宋_GB2312" w:hAnsi="Times New Roman"/>
          <w:sz w:val="32"/>
        </w:rPr>
        <w:t>万元</w:t>
      </w:r>
      <w:r>
        <w:rPr>
          <w:rFonts w:ascii="Times New Roman" w:eastAsia="仿宋_GB2312" w:hAnsi="Times New Roman"/>
          <w:sz w:val="32"/>
        </w:rPr>
        <w:t>/</w:t>
      </w:r>
      <w:r>
        <w:rPr>
          <w:rFonts w:ascii="Times New Roman" w:eastAsia="仿宋_GB2312" w:hAnsi="Times New Roman"/>
          <w:sz w:val="32"/>
        </w:rPr>
        <w:t>公顷，安置补助标准为</w:t>
      </w:r>
      <w:r>
        <w:rPr>
          <w:rFonts w:ascii="Times New Roman" w:eastAsia="仿宋_GB2312" w:hAnsi="Times New Roman"/>
          <w:sz w:val="32"/>
        </w:rPr>
        <w:t>124.8</w:t>
      </w:r>
      <w:r>
        <w:rPr>
          <w:rFonts w:ascii="Times New Roman" w:eastAsia="仿宋_GB2312" w:hAnsi="Times New Roman"/>
          <w:sz w:val="32"/>
        </w:rPr>
        <w:t>万元</w:t>
      </w:r>
      <w:r>
        <w:rPr>
          <w:rFonts w:ascii="Times New Roman" w:eastAsia="仿宋_GB2312" w:hAnsi="Times New Roman"/>
          <w:sz w:val="32"/>
        </w:rPr>
        <w:t>/</w:t>
      </w:r>
      <w:r>
        <w:rPr>
          <w:rFonts w:ascii="Times New Roman" w:eastAsia="仿宋_GB2312" w:hAnsi="Times New Roman"/>
          <w:sz w:val="32"/>
        </w:rPr>
        <w:t>公顷。</w:t>
      </w:r>
    </w:p>
    <w:p w14:paraId="68360960" w14:textId="77777777" w:rsidR="00E364A1" w:rsidRDefault="00000000">
      <w:pPr>
        <w:ind w:left="640"/>
        <w:rPr>
          <w:rFonts w:ascii="Times New Roman" w:eastAsia="仿宋_GB2312" w:hAnsi="Times New Roman"/>
          <w:sz w:val="32"/>
        </w:rPr>
      </w:pPr>
      <w:bookmarkStart w:id="0" w:name="_Hlk140846328"/>
      <w:r>
        <w:rPr>
          <w:rFonts w:ascii="Times New Roman" w:eastAsia="仿宋_GB2312" w:hAnsi="Times New Roman"/>
          <w:sz w:val="32"/>
          <w:szCs w:val="32"/>
        </w:rPr>
        <w:t>（</w:t>
      </w:r>
      <w:r>
        <w:rPr>
          <w:rFonts w:ascii="Times New Roman" w:eastAsia="仿宋_GB2312" w:hAnsi="Times New Roman" w:hint="eastAsia"/>
          <w:sz w:val="32"/>
          <w:szCs w:val="32"/>
        </w:rPr>
        <w:t>二</w:t>
      </w:r>
      <w:r>
        <w:rPr>
          <w:rFonts w:ascii="Times New Roman" w:eastAsia="仿宋_GB2312" w:hAnsi="Times New Roman"/>
          <w:sz w:val="32"/>
          <w:szCs w:val="32"/>
        </w:rPr>
        <w:t>）</w:t>
      </w:r>
      <w:r>
        <w:rPr>
          <w:rFonts w:ascii="Times New Roman" w:eastAsia="仿宋_GB2312" w:hAnsi="Times New Roman"/>
          <w:sz w:val="32"/>
        </w:rPr>
        <w:t>农村村民住宅补偿</w:t>
      </w:r>
    </w:p>
    <w:p w14:paraId="7C1284B5" w14:textId="77777777" w:rsidR="00E364A1" w:rsidRDefault="00000000">
      <w:pPr>
        <w:numPr>
          <w:ilvl w:val="255"/>
          <w:numId w:val="0"/>
        </w:numPr>
        <w:ind w:firstLineChars="200" w:firstLine="640"/>
        <w:rPr>
          <w:rFonts w:ascii="Times New Roman" w:eastAsia="仿宋_GB2312" w:hAnsi="Times New Roman"/>
          <w:sz w:val="32"/>
          <w:szCs w:val="32"/>
        </w:rPr>
      </w:pPr>
      <w:r>
        <w:rPr>
          <w:rFonts w:ascii="Times New Roman" w:eastAsia="仿宋_GB2312" w:hAnsi="Times New Roman" w:hint="eastAsia"/>
          <w:sz w:val="32"/>
        </w:rPr>
        <w:t>征地范围内的农村村民住宅按黄埔区政府有关规定进行补偿</w:t>
      </w:r>
      <w:r>
        <w:rPr>
          <w:rFonts w:ascii="Times New Roman" w:eastAsia="仿宋_GB2312" w:hAnsi="Times New Roman"/>
          <w:sz w:val="32"/>
          <w:szCs w:val="32"/>
        </w:rPr>
        <w:t>。</w:t>
      </w:r>
    </w:p>
    <w:p w14:paraId="6D7A15FA" w14:textId="77777777" w:rsidR="00E364A1" w:rsidRDefault="00000000">
      <w:pPr>
        <w:ind w:left="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hint="eastAsia"/>
          <w:sz w:val="32"/>
          <w:szCs w:val="32"/>
        </w:rPr>
        <w:t>三</w:t>
      </w:r>
      <w:r>
        <w:rPr>
          <w:rFonts w:ascii="Times New Roman" w:eastAsia="仿宋_GB2312" w:hAnsi="Times New Roman"/>
          <w:sz w:val="32"/>
          <w:szCs w:val="32"/>
        </w:rPr>
        <w:t>）青苗及其他地上附着物补偿</w:t>
      </w:r>
    </w:p>
    <w:p w14:paraId="7FAA0C55" w14:textId="77777777" w:rsidR="00E364A1"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hint="eastAsia"/>
          <w:sz w:val="32"/>
          <w:szCs w:val="32"/>
        </w:rPr>
        <w:t>征地范围内的青苗补偿费和附着物补偿费按黄埔区政府有关规定进行补偿</w:t>
      </w:r>
      <w:r>
        <w:rPr>
          <w:rFonts w:ascii="Times New Roman" w:eastAsia="仿宋_GB2312" w:hAnsi="Times New Roman"/>
          <w:sz w:val="32"/>
          <w:szCs w:val="32"/>
        </w:rPr>
        <w:t>。</w:t>
      </w:r>
      <w:bookmarkEnd w:id="0"/>
    </w:p>
    <w:p w14:paraId="39A8041A" w14:textId="77777777" w:rsidR="00E364A1" w:rsidRDefault="00000000">
      <w:pPr>
        <w:ind w:firstLineChars="200" w:firstLine="640"/>
        <w:rPr>
          <w:rFonts w:ascii="Times New Roman" w:eastAsia="黑体" w:hAnsi="Times New Roman"/>
          <w:sz w:val="32"/>
          <w:szCs w:val="32"/>
        </w:rPr>
      </w:pPr>
      <w:r>
        <w:rPr>
          <w:rFonts w:ascii="Times New Roman" w:eastAsia="黑体" w:hAnsi="Times New Roman"/>
          <w:sz w:val="32"/>
          <w:szCs w:val="32"/>
        </w:rPr>
        <w:t>五、安置对象</w:t>
      </w:r>
    </w:p>
    <w:p w14:paraId="7DB23095" w14:textId="77777777" w:rsidR="00E364A1" w:rsidRDefault="00000000">
      <w:pPr>
        <w:numPr>
          <w:ilvl w:val="255"/>
          <w:numId w:val="0"/>
        </w:numPr>
        <w:ind w:firstLineChars="200" w:firstLine="640"/>
        <w:rPr>
          <w:rFonts w:ascii="Times New Roman" w:eastAsia="仿宋_GB2312" w:hAnsi="Times New Roman"/>
          <w:sz w:val="32"/>
          <w:szCs w:val="32"/>
        </w:rPr>
      </w:pPr>
      <w:r>
        <w:rPr>
          <w:rFonts w:ascii="Times New Roman" w:eastAsia="仿宋_GB2312" w:hAnsi="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sz w:val="32"/>
          <w:szCs w:val="32"/>
        </w:rPr>
        <w:t>16</w:t>
      </w:r>
      <w:r>
        <w:rPr>
          <w:rFonts w:ascii="Times New Roman" w:eastAsia="仿宋_GB2312" w:hAnsi="Times New Roman"/>
          <w:sz w:val="32"/>
          <w:szCs w:val="32"/>
        </w:rPr>
        <w:t>周岁以上的家庭成员，纳入征地社保费补贴对象范围。农村集体经济组织另有规定的，可从其规定。不满</w:t>
      </w:r>
      <w:r>
        <w:rPr>
          <w:rFonts w:ascii="Times New Roman" w:eastAsia="仿宋_GB2312" w:hAnsi="Times New Roman"/>
          <w:sz w:val="32"/>
          <w:szCs w:val="32"/>
        </w:rPr>
        <w:t>16</w:t>
      </w:r>
      <w:r>
        <w:rPr>
          <w:rFonts w:ascii="Times New Roman" w:eastAsia="仿宋_GB2312" w:hAnsi="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37FECDD9" w14:textId="77777777" w:rsidR="00E364A1" w:rsidRDefault="00000000">
      <w:pPr>
        <w:ind w:firstLineChars="200" w:firstLine="640"/>
        <w:rPr>
          <w:rFonts w:ascii="Times New Roman" w:eastAsia="黑体" w:hAnsi="Times New Roman"/>
          <w:sz w:val="32"/>
          <w:szCs w:val="32"/>
        </w:rPr>
      </w:pPr>
      <w:r>
        <w:rPr>
          <w:rFonts w:ascii="Times New Roman" w:eastAsia="黑体" w:hAnsi="Times New Roman"/>
          <w:sz w:val="32"/>
          <w:szCs w:val="32"/>
        </w:rPr>
        <w:t>六、安置方式和社会保障</w:t>
      </w:r>
    </w:p>
    <w:p w14:paraId="452BD247" w14:textId="77777777" w:rsidR="00E364A1" w:rsidRDefault="00000000">
      <w:pPr>
        <w:numPr>
          <w:ilvl w:val="255"/>
          <w:numId w:val="0"/>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（一）货币安置。所需费用已包含在土地补偿安置费中。</w:t>
      </w:r>
    </w:p>
    <w:p w14:paraId="3D2EBC78" w14:textId="77777777" w:rsidR="00E364A1"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（二）留用地安置。根据《广东省人民政府办公厅关于加强征收农村集体土地留用地安置管理工作的意见》（粤府办〔</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30</w:t>
      </w:r>
      <w:r>
        <w:rPr>
          <w:rFonts w:ascii="Times New Roman" w:eastAsia="仿宋_GB2312" w:hAnsi="Times New Roman"/>
          <w:sz w:val="32"/>
          <w:szCs w:val="32"/>
        </w:rPr>
        <w:t>号）</w:t>
      </w:r>
      <w:r>
        <w:rPr>
          <w:rFonts w:ascii="Times New Roman" w:eastAsia="仿宋_GB2312" w:hAnsi="Times New Roman" w:hint="eastAsia"/>
          <w:sz w:val="32"/>
          <w:szCs w:val="32"/>
        </w:rPr>
        <w:t>等</w:t>
      </w:r>
      <w:r>
        <w:rPr>
          <w:rFonts w:ascii="Times New Roman" w:eastAsia="仿宋_GB2312" w:hAnsi="Times New Roman"/>
          <w:sz w:val="32"/>
          <w:szCs w:val="32"/>
        </w:rPr>
        <w:t>相关规定，按实际征收土地面积的</w:t>
      </w:r>
      <w:r>
        <w:rPr>
          <w:rFonts w:ascii="Times New Roman" w:eastAsia="仿宋_GB2312" w:hAnsi="Times New Roman"/>
          <w:sz w:val="32"/>
          <w:szCs w:val="32"/>
        </w:rPr>
        <w:t>10%</w:t>
      </w:r>
      <w:r>
        <w:rPr>
          <w:rFonts w:ascii="Times New Roman" w:eastAsia="仿宋_GB2312" w:hAnsi="Times New Roman"/>
          <w:sz w:val="32"/>
          <w:szCs w:val="32"/>
        </w:rPr>
        <w:t>安排留用地，</w:t>
      </w:r>
      <w:r>
        <w:rPr>
          <w:rFonts w:ascii="Times New Roman" w:eastAsia="仿宋_GB2312" w:hAnsi="Times New Roman" w:cs="Times New Roman"/>
          <w:sz w:val="32"/>
          <w:szCs w:val="32"/>
        </w:rPr>
        <w:t>拟在</w:t>
      </w:r>
      <w:r>
        <w:rPr>
          <w:rFonts w:eastAsia="仿宋_GB2312" w:cs="Times New Roman" w:hint="eastAsia"/>
          <w:sz w:val="32"/>
          <w:szCs w:val="32"/>
        </w:rPr>
        <w:t>被征地单位的旧村改造项目中落实</w:t>
      </w:r>
      <w:r>
        <w:rPr>
          <w:rFonts w:ascii="Times New Roman" w:eastAsia="仿宋_GB2312" w:hAnsi="Times New Roman"/>
          <w:sz w:val="32"/>
          <w:szCs w:val="32"/>
        </w:rPr>
        <w:t>。</w:t>
      </w:r>
    </w:p>
    <w:p w14:paraId="450116CB" w14:textId="77777777" w:rsidR="00E364A1"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22</w:t>
      </w:r>
      <w:r>
        <w:rPr>
          <w:rFonts w:ascii="Times New Roman" w:eastAsia="仿宋_GB2312" w:hAnsi="Times New Roman"/>
          <w:sz w:val="32"/>
          <w:szCs w:val="32"/>
        </w:rPr>
        <w:t>号）规定，</w:t>
      </w:r>
      <w:r>
        <w:rPr>
          <w:rFonts w:ascii="Times New Roman" w:eastAsia="仿宋_GB2312" w:hAnsi="Times New Roman" w:hint="eastAsia"/>
          <w:sz w:val="32"/>
          <w:szCs w:val="32"/>
        </w:rPr>
        <w:t>核定该项目按</w:t>
      </w:r>
      <w:r>
        <w:rPr>
          <w:rFonts w:ascii="Times New Roman" w:eastAsia="仿宋_GB2312" w:hAnsi="Times New Roman" w:hint="eastAsia"/>
          <w:sz w:val="32"/>
          <w:szCs w:val="32"/>
        </w:rPr>
        <w:t>2.47</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亩标准一次性计提被征地农民养老保障资金存入“收缴被征地农民养老保障资金过渡户”，费用合计</w:t>
      </w:r>
      <w:r>
        <w:rPr>
          <w:rFonts w:ascii="Times New Roman" w:eastAsia="仿宋_GB2312" w:hAnsi="Times New Roman"/>
          <w:sz w:val="32"/>
          <w:szCs w:val="32"/>
        </w:rPr>
        <w:t>6.6</w:t>
      </w:r>
      <w:r>
        <w:rPr>
          <w:rFonts w:ascii="Times New Roman" w:eastAsia="仿宋_GB2312" w:hAnsi="Times New Roman" w:hint="eastAsia"/>
          <w:sz w:val="32"/>
          <w:szCs w:val="32"/>
        </w:rPr>
        <w:t>4</w:t>
      </w:r>
      <w:r>
        <w:rPr>
          <w:rFonts w:ascii="Times New Roman" w:eastAsia="仿宋_GB2312" w:hAnsi="Times New Roman" w:hint="eastAsia"/>
          <w:sz w:val="32"/>
          <w:szCs w:val="32"/>
        </w:rPr>
        <w:t>万元，专款用于被征地农民缴纳养老保险费用。征地批准文件批复的</w:t>
      </w:r>
      <w:r>
        <w:rPr>
          <w:rFonts w:ascii="Times New Roman" w:eastAsia="仿宋_GB2312" w:hAnsi="Times New Roman" w:hint="eastAsia"/>
          <w:sz w:val="32"/>
          <w:szCs w:val="32"/>
        </w:rPr>
        <w:lastRenderedPageBreak/>
        <w:t>实际范围有变化的，费用将做相应调整</w:t>
      </w:r>
      <w:r>
        <w:rPr>
          <w:rFonts w:ascii="Times New Roman" w:eastAsia="仿宋_GB2312" w:hAnsi="Times New Roman"/>
          <w:sz w:val="32"/>
          <w:szCs w:val="32"/>
        </w:rPr>
        <w:t>。</w:t>
      </w:r>
    </w:p>
    <w:p w14:paraId="55D4435C" w14:textId="77777777" w:rsidR="00E364A1" w:rsidRDefault="00E364A1">
      <w:pPr>
        <w:rPr>
          <w:rFonts w:ascii="Times New Roman" w:eastAsia="仿宋_GB2312" w:hAnsi="Times New Roman" w:cs="Times New Roman"/>
          <w:sz w:val="32"/>
          <w:szCs w:val="32"/>
        </w:rPr>
      </w:pPr>
    </w:p>
    <w:p w14:paraId="4B29038D" w14:textId="77777777" w:rsidR="00E364A1" w:rsidRDefault="00E364A1">
      <w:pPr>
        <w:rPr>
          <w:rFonts w:ascii="Times New Roman" w:eastAsia="仿宋_GB2312" w:hAnsi="Times New Roman" w:cs="Times New Roman"/>
          <w:sz w:val="32"/>
          <w:szCs w:val="32"/>
        </w:rPr>
      </w:pPr>
    </w:p>
    <w:p w14:paraId="7F7A1DF9" w14:textId="77777777" w:rsidR="00E364A1" w:rsidRDefault="00000000">
      <w:pPr>
        <w:pStyle w:val="New"/>
        <w:tabs>
          <w:tab w:val="left" w:pos="3960"/>
        </w:tabs>
        <w:spacing w:line="520" w:lineRule="exact"/>
        <w:ind w:right="-440"/>
        <w:rPr>
          <w:rFonts w:eastAsia="仿宋_GB2312"/>
          <w:spacing w:val="-6"/>
          <w:sz w:val="32"/>
          <w:szCs w:val="32"/>
        </w:rPr>
      </w:pPr>
      <w:r>
        <w:rPr>
          <w:rFonts w:eastAsia="仿宋_GB2312"/>
          <w:spacing w:val="-6"/>
          <w:sz w:val="32"/>
          <w:szCs w:val="32"/>
        </w:rPr>
        <w:t>广州开发区</w:t>
      </w:r>
      <w:r>
        <w:rPr>
          <w:rFonts w:eastAsia="仿宋_GB2312" w:hint="eastAsia"/>
          <w:spacing w:val="-6"/>
          <w:sz w:val="32"/>
          <w:szCs w:val="32"/>
        </w:rPr>
        <w:t>规划和自然资源局</w:t>
      </w:r>
      <w:r>
        <w:rPr>
          <w:rFonts w:eastAsia="仿宋_GB2312"/>
          <w:spacing w:val="-6"/>
          <w:sz w:val="32"/>
          <w:szCs w:val="32"/>
        </w:rPr>
        <w:t xml:space="preserve">  </w:t>
      </w:r>
      <w:r>
        <w:rPr>
          <w:rFonts w:eastAsia="仿宋_GB2312" w:hint="eastAsia"/>
          <w:spacing w:val="-8"/>
          <w:sz w:val="32"/>
          <w:szCs w:val="32"/>
        </w:rPr>
        <w:t>广州市</w:t>
      </w:r>
      <w:r>
        <w:rPr>
          <w:rFonts w:eastAsia="仿宋_GB2312" w:hAnsi="仿宋_GB2312" w:hint="eastAsia"/>
          <w:spacing w:val="-8"/>
          <w:sz w:val="32"/>
          <w:szCs w:val="32"/>
        </w:rPr>
        <w:t>规划和自然资源局黄埔区分局</w:t>
      </w:r>
    </w:p>
    <w:p w14:paraId="0ADCCCED" w14:textId="77777777" w:rsidR="00E364A1" w:rsidRDefault="00E364A1">
      <w:pPr>
        <w:spacing w:line="560" w:lineRule="exact"/>
        <w:ind w:left="5440" w:right="280" w:hangingChars="1700" w:hanging="5440"/>
        <w:rPr>
          <w:rFonts w:ascii="Times New Roman" w:eastAsia="仿宋_GB2312" w:hAnsi="Times New Roman" w:cs="Times New Roman"/>
          <w:sz w:val="32"/>
          <w:szCs w:val="32"/>
        </w:rPr>
      </w:pPr>
    </w:p>
    <w:p w14:paraId="53AE5020" w14:textId="54F10233" w:rsidR="00E364A1" w:rsidRDefault="00000000">
      <w:pPr>
        <w:spacing w:line="560" w:lineRule="exact"/>
        <w:ind w:right="2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sidR="00DD397E">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sidR="00DD397E">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p>
    <w:p w14:paraId="6144C605" w14:textId="77777777" w:rsidR="00E364A1" w:rsidRDefault="00E364A1">
      <w:pPr>
        <w:rPr>
          <w:rFonts w:ascii="Times New Roman" w:eastAsia="仿宋_GB2312" w:hAnsi="Times New Roman" w:cs="Times New Roman"/>
          <w:sz w:val="32"/>
          <w:szCs w:val="32"/>
        </w:rPr>
      </w:pPr>
    </w:p>
    <w:p w14:paraId="266DAB53" w14:textId="77777777" w:rsidR="00E364A1" w:rsidRDefault="00E364A1"/>
    <w:p w14:paraId="58524C25" w14:textId="77777777" w:rsidR="00E364A1" w:rsidRDefault="00E364A1"/>
    <w:sectPr w:rsidR="00E364A1">
      <w:pgSz w:w="11906" w:h="16838"/>
      <w:pgMar w:top="1417" w:right="1587" w:bottom="141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D44B47"/>
    <w:multiLevelType w:val="singleLevel"/>
    <w:tmpl w:val="A9D44B47"/>
    <w:lvl w:ilvl="0">
      <w:start w:val="3"/>
      <w:numFmt w:val="chineseCounting"/>
      <w:suff w:val="nothing"/>
      <w:lvlText w:val="%1、"/>
      <w:lvlJc w:val="left"/>
      <w:rPr>
        <w:rFonts w:hint="eastAsia"/>
      </w:rPr>
    </w:lvl>
  </w:abstractNum>
  <w:num w:numId="1" w16cid:durableId="148199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1ODhiNTk0YjE0YjEzNDkyYWFiYzJmYTJhNGFkZWYifQ=="/>
  </w:docVars>
  <w:rsids>
    <w:rsidRoot w:val="6F904891"/>
    <w:rsid w:val="003F6E08"/>
    <w:rsid w:val="0076155F"/>
    <w:rsid w:val="00900E0C"/>
    <w:rsid w:val="00AB4B86"/>
    <w:rsid w:val="00DD397E"/>
    <w:rsid w:val="00E364A1"/>
    <w:rsid w:val="00E414B2"/>
    <w:rsid w:val="00FF6F43"/>
    <w:rsid w:val="014C0036"/>
    <w:rsid w:val="03BB3663"/>
    <w:rsid w:val="0B195BDF"/>
    <w:rsid w:val="0F9073D0"/>
    <w:rsid w:val="14234C20"/>
    <w:rsid w:val="17EC7BCA"/>
    <w:rsid w:val="1A8B0AEC"/>
    <w:rsid w:val="1CE57F75"/>
    <w:rsid w:val="22B55614"/>
    <w:rsid w:val="236D51B4"/>
    <w:rsid w:val="2591116E"/>
    <w:rsid w:val="26891243"/>
    <w:rsid w:val="27020FE1"/>
    <w:rsid w:val="39A04CB4"/>
    <w:rsid w:val="39DF0BD7"/>
    <w:rsid w:val="3C2E1823"/>
    <w:rsid w:val="3DD73B70"/>
    <w:rsid w:val="3F02723A"/>
    <w:rsid w:val="3FBB1498"/>
    <w:rsid w:val="4137018A"/>
    <w:rsid w:val="43CF14AC"/>
    <w:rsid w:val="4AA4235A"/>
    <w:rsid w:val="4D8B5B2D"/>
    <w:rsid w:val="51D04C64"/>
    <w:rsid w:val="52180177"/>
    <w:rsid w:val="525F7393"/>
    <w:rsid w:val="5A864BBC"/>
    <w:rsid w:val="5B9916F5"/>
    <w:rsid w:val="5F0F39F7"/>
    <w:rsid w:val="6B9E543D"/>
    <w:rsid w:val="6D966E0E"/>
    <w:rsid w:val="6DAD10F8"/>
    <w:rsid w:val="6F904891"/>
    <w:rsid w:val="72551503"/>
    <w:rsid w:val="7279142B"/>
    <w:rsid w:val="72D35157"/>
    <w:rsid w:val="768255EF"/>
    <w:rsid w:val="7A322032"/>
    <w:rsid w:val="7FF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51A7E"/>
  <w15:docId w15:val="{D7907C35-6847-4DB8-B823-5FC537B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customStyle="1" w:styleId="New">
    <w:name w:val="正文 New"/>
    <w:qFormat/>
    <w:pPr>
      <w:widowControl w:val="0"/>
      <w:jc w:val="both"/>
    </w:pPr>
    <w:rPr>
      <w:kern w:val="2"/>
      <w:sz w:val="21"/>
      <w:szCs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回忆か~捉不到</dc:creator>
  <cp:lastModifiedBy>243178824@qq.com</cp:lastModifiedBy>
  <cp:revision>4</cp:revision>
  <dcterms:created xsi:type="dcterms:W3CDTF">2022-01-24T06:20:00Z</dcterms:created>
  <dcterms:modified xsi:type="dcterms:W3CDTF">2024-01-18T01:58:00Z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275F66BB57F5481E80F65F82C181D1BE</vt:lpwstr>
  </property>
</Properties>
</file>