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方正小标宋简体" w:cs="Times New Roman"/>
          <w:color w:val="000000"/>
          <w:sz w:val="44"/>
          <w:szCs w:val="44"/>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2024年度第三批次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（增减挂钩）</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000000"/>
          <w:sz w:val="32"/>
          <w:szCs w:val="32"/>
          <w:highlight w:val="none"/>
          <w:lang w:val="en-US" w:eastAsia="zh-CN" w:bidi="ar"/>
        </w:rPr>
        <w:t>龙湖街何棠下村经济联合社、何棠下村光明经济合作社、何棠下村新兴经济合作社</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1.6049</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6283"/>
        </w:tabs>
        <w:snapToGrid w:val="0"/>
        <w:spacing w:line="579" w:lineRule="exact"/>
        <w:ind w:firstLine="640" w:firstLineChars="200"/>
        <w:rPr>
          <w:rFonts w:hint="eastAsia" w:ascii="黑体" w:hAnsi="黑体" w:eastAsia="黑体"/>
          <w:snapToGrid w:val="0"/>
          <w:color w:val="000000"/>
          <w:kern w:val="0"/>
          <w:sz w:val="32"/>
          <w:szCs w:val="32"/>
          <w:lang w:bidi="ar"/>
        </w:rPr>
      </w:pPr>
      <w:r>
        <w:rPr>
          <w:rFonts w:ascii="黑体" w:hAnsi="黑体" w:eastAsia="黑体"/>
          <w:snapToGrid w:val="0"/>
          <w:color w:val="000000"/>
          <w:kern w:val="0"/>
          <w:sz w:val="32"/>
          <w:szCs w:val="32"/>
          <w:lang w:bidi="ar"/>
        </w:rPr>
        <w:t>一、征收范围</w:t>
      </w:r>
    </w:p>
    <w:p>
      <w:pPr>
        <w:tabs>
          <w:tab w:val="left" w:pos="6283"/>
        </w:tabs>
        <w:snapToGrid w:val="0"/>
        <w:spacing w:line="579" w:lineRule="exact"/>
        <w:ind w:firstLine="640" w:firstLineChars="200"/>
        <w:rPr>
          <w:rFonts w:ascii="仿宋" w:hAnsi="仿宋" w:eastAsia="仿宋"/>
          <w:snapToGrid w:val="0"/>
          <w:color w:val="000000"/>
          <w:kern w:val="0"/>
          <w:sz w:val="32"/>
          <w:szCs w:val="32"/>
          <w:lang w:bidi="ar"/>
        </w:rPr>
      </w:pPr>
      <w:r>
        <w:rPr>
          <w:rFonts w:ascii="仿宋" w:hAnsi="仿宋" w:eastAsia="仿宋"/>
          <w:snapToGrid w:val="0"/>
          <w:color w:val="000000"/>
          <w:kern w:val="0"/>
          <w:sz w:val="32"/>
          <w:szCs w:val="32"/>
          <w:lang w:bidi="ar"/>
        </w:rPr>
        <w:t>拟征收</w:t>
      </w:r>
      <w:r>
        <w:rPr>
          <w:rFonts w:hint="eastAsia" w:ascii="仿宋" w:hAnsi="仿宋" w:eastAsia="仿宋"/>
          <w:snapToGrid w:val="0"/>
          <w:color w:val="000000"/>
          <w:kern w:val="0"/>
          <w:sz w:val="32"/>
          <w:szCs w:val="32"/>
          <w:lang w:bidi="ar"/>
        </w:rPr>
        <w:t>土地位于</w:t>
      </w:r>
      <w:r>
        <w:rPr>
          <w:rFonts w:ascii="仿宋" w:hAnsi="仿宋" w:eastAsia="仿宋"/>
          <w:snapToGrid w:val="0"/>
          <w:color w:val="000000"/>
          <w:kern w:val="0"/>
          <w:sz w:val="32"/>
          <w:szCs w:val="32"/>
          <w:lang w:bidi="ar"/>
        </w:rPr>
        <w:t>广州市黄埔区龙湖</w:t>
      </w:r>
      <w:r>
        <w:rPr>
          <w:rFonts w:hint="eastAsia" w:ascii="仿宋" w:hAnsi="仿宋" w:eastAsia="仿宋"/>
          <w:snapToGrid w:val="0"/>
          <w:color w:val="000000"/>
          <w:kern w:val="0"/>
          <w:sz w:val="32"/>
          <w:szCs w:val="32"/>
          <w:lang w:bidi="ar"/>
        </w:rPr>
        <w:t>街道</w:t>
      </w:r>
      <w:r>
        <w:rPr>
          <w:rFonts w:ascii="仿宋" w:hAnsi="仿宋" w:eastAsia="仿宋"/>
          <w:snapToGrid w:val="0"/>
          <w:color w:val="000000"/>
          <w:kern w:val="0"/>
          <w:sz w:val="32"/>
          <w:szCs w:val="32"/>
          <w:lang w:bidi="ar"/>
        </w:rPr>
        <w:t>何棠下村经济联合社</w:t>
      </w:r>
      <w:r>
        <w:rPr>
          <w:rFonts w:hint="eastAsia" w:ascii="仿宋" w:hAnsi="仿宋" w:eastAsia="仿宋"/>
          <w:snapToGrid w:val="0"/>
          <w:color w:val="000000"/>
          <w:kern w:val="0"/>
          <w:sz w:val="32"/>
          <w:szCs w:val="32"/>
          <w:lang w:bidi="ar"/>
        </w:rPr>
        <w:t>、何棠下村光明经济合作社、何棠下村新兴经济合作社范围内，具体位置详见附图。</w:t>
      </w:r>
    </w:p>
    <w:p>
      <w:p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hint="eastAsia" w:ascii="仿宋" w:hAnsi="仿宋" w:eastAsia="仿宋"/>
          <w:snapToGrid w:val="0"/>
          <w:color w:val="000000"/>
          <w:kern w:val="0"/>
          <w:sz w:val="32"/>
          <w:szCs w:val="32"/>
          <w:lang w:bidi="ar"/>
        </w:rPr>
        <w:t>实际征收土地范围以最终批准文件为准</w:t>
      </w:r>
      <w:r>
        <w:rPr>
          <w:rFonts w:ascii="仿宋" w:hAnsi="仿宋" w:eastAsia="仿宋"/>
          <w:snapToGrid w:val="0"/>
          <w:color w:val="000000"/>
          <w:kern w:val="0"/>
          <w:sz w:val="32"/>
          <w:szCs w:val="32"/>
          <w:lang w:bidi="ar"/>
        </w:rPr>
        <w:t>。</w:t>
      </w:r>
    </w:p>
    <w:p>
      <w:pPr>
        <w:tabs>
          <w:tab w:val="left" w:pos="6283"/>
        </w:tabs>
        <w:snapToGrid w:val="0"/>
        <w:spacing w:line="579" w:lineRule="exact"/>
        <w:ind w:firstLine="640" w:firstLineChars="200"/>
        <w:rPr>
          <w:rFonts w:ascii="黑体" w:hAnsi="黑体" w:eastAsia="黑体"/>
          <w:snapToGrid w:val="0"/>
          <w:color w:val="000000"/>
          <w:kern w:val="0"/>
          <w:sz w:val="32"/>
          <w:szCs w:val="32"/>
          <w:lang w:bidi="ar"/>
        </w:rPr>
      </w:pPr>
      <w:r>
        <w:rPr>
          <w:rFonts w:hint="eastAsia" w:ascii="黑体" w:hAnsi="黑体" w:eastAsia="黑体"/>
          <w:snapToGrid w:val="0"/>
          <w:color w:val="000000"/>
          <w:kern w:val="0"/>
          <w:sz w:val="32"/>
          <w:szCs w:val="32"/>
          <w:lang w:bidi="ar"/>
        </w:rPr>
        <w:t>二、</w:t>
      </w:r>
      <w:r>
        <w:rPr>
          <w:rFonts w:ascii="黑体" w:hAnsi="黑体" w:eastAsia="黑体"/>
          <w:snapToGrid w:val="0"/>
          <w:color w:val="000000"/>
          <w:kern w:val="0"/>
          <w:sz w:val="32"/>
          <w:szCs w:val="32"/>
          <w:lang w:bidi="ar"/>
        </w:rPr>
        <w:t>征收目的</w:t>
      </w:r>
    </w:p>
    <w:p>
      <w:pPr>
        <w:tabs>
          <w:tab w:val="left" w:pos="6283"/>
        </w:tabs>
        <w:snapToGrid w:val="0"/>
        <w:spacing w:line="579" w:lineRule="exact"/>
        <w:ind w:firstLine="640" w:firstLineChars="200"/>
        <w:rPr>
          <w:rFonts w:ascii="仿宋" w:hAnsi="仿宋" w:eastAsia="仿宋"/>
          <w:snapToGrid w:val="0"/>
          <w:color w:val="000000"/>
          <w:kern w:val="0"/>
          <w:sz w:val="32"/>
          <w:szCs w:val="32"/>
          <w:lang w:bidi="ar"/>
        </w:rPr>
      </w:pPr>
      <w:r>
        <w:rPr>
          <w:rFonts w:ascii="仿宋" w:hAnsi="仿宋" w:eastAsia="仿宋"/>
          <w:snapToGrid w:val="0"/>
          <w:color w:val="000000"/>
          <w:kern w:val="0"/>
          <w:sz w:val="32"/>
          <w:szCs w:val="32"/>
          <w:lang w:bidi="ar"/>
        </w:rPr>
        <w:t>根据《中华人民共和国土地管理法》第四十五条的规定，本次征收土地目的为在土地利用总体规划确定的城镇建设用地范围内，经省级以上人民政府批准由县级以上地方人民政府组织实施的成片开发建设需要用地。</w:t>
      </w:r>
    </w:p>
    <w:p>
      <w:pPr>
        <w:tabs>
          <w:tab w:val="left" w:pos="6283"/>
        </w:tabs>
        <w:snapToGrid w:val="0"/>
        <w:spacing w:line="579" w:lineRule="exact"/>
        <w:ind w:firstLine="640" w:firstLineChars="200"/>
        <w:rPr>
          <w:rFonts w:ascii="黑体" w:hAnsi="黑体" w:eastAsia="黑体"/>
          <w:snapToGrid w:val="0"/>
          <w:color w:val="000000"/>
          <w:kern w:val="0"/>
          <w:sz w:val="32"/>
          <w:szCs w:val="32"/>
          <w:lang w:bidi="ar"/>
        </w:rPr>
      </w:pPr>
      <w:r>
        <w:rPr>
          <w:rFonts w:ascii="黑体" w:hAnsi="黑体" w:eastAsia="黑体"/>
          <w:snapToGrid w:val="0"/>
          <w:color w:val="000000"/>
          <w:kern w:val="0"/>
          <w:sz w:val="32"/>
          <w:szCs w:val="32"/>
          <w:lang w:bidi="ar"/>
        </w:rPr>
        <w:t>三、</w:t>
      </w:r>
      <w:r>
        <w:rPr>
          <w:rFonts w:hint="eastAsia" w:ascii="黑体" w:hAnsi="黑体" w:eastAsia="黑体"/>
          <w:snapToGrid w:val="0"/>
          <w:color w:val="000000"/>
          <w:kern w:val="0"/>
          <w:sz w:val="32"/>
          <w:szCs w:val="32"/>
          <w:lang w:bidi="ar"/>
        </w:rPr>
        <w:t>土地现状</w:t>
      </w:r>
    </w:p>
    <w:p>
      <w:p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ascii="仿宋" w:hAnsi="仿宋" w:eastAsia="仿宋"/>
          <w:snapToGrid w:val="0"/>
          <w:color w:val="000000"/>
          <w:kern w:val="0"/>
          <w:sz w:val="32"/>
          <w:szCs w:val="32"/>
          <w:lang w:bidi="ar"/>
        </w:rPr>
        <w:t>根据拟征收土地现状调查结果，拟征收土地现状为</w:t>
      </w:r>
      <w:r>
        <w:rPr>
          <w:rFonts w:hint="eastAsia" w:ascii="仿宋" w:hAnsi="仿宋" w:eastAsia="仿宋"/>
          <w:snapToGrid w:val="0"/>
          <w:color w:val="000000"/>
          <w:kern w:val="0"/>
          <w:sz w:val="32"/>
          <w:szCs w:val="32"/>
          <w:lang w:bidi="ar"/>
        </w:rPr>
        <w:t>：</w:t>
      </w:r>
    </w:p>
    <w:p>
      <w:pPr>
        <w:pStyle w:val="2"/>
        <w:snapToGrid w:val="0"/>
        <w:spacing w:line="579" w:lineRule="exact"/>
        <w:ind w:firstLine="0"/>
        <w:jc w:val="right"/>
        <w:rPr>
          <w:rFonts w:hint="eastAsia"/>
          <w:snapToGrid w:val="0"/>
          <w:kern w:val="0"/>
          <w:lang w:bidi="ar"/>
        </w:rPr>
      </w:pPr>
      <w:r>
        <w:rPr>
          <w:rFonts w:hint="eastAsia"/>
          <w:snapToGrid w:val="0"/>
          <w:kern w:val="0"/>
          <w:lang w:bidi="ar"/>
        </w:rPr>
        <w:t>单位：公顷</w:t>
      </w:r>
    </w:p>
    <w:tbl>
      <w:tblPr>
        <w:tblStyle w:val="5"/>
        <w:tblW w:w="882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64"/>
        <w:gridCol w:w="1268"/>
        <w:gridCol w:w="1252"/>
        <w:gridCol w:w="1080"/>
        <w:gridCol w:w="1260"/>
        <w:gridCol w:w="12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4" w:hRule="atLeast"/>
          <w:tblHeader/>
          <w:jc w:val="center"/>
        </w:trPr>
        <w:tc>
          <w:tcPr>
            <w:tcW w:w="2764"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黑体" w:hAnsi="黑体" w:eastAsia="黑体"/>
                <w:snapToGrid w:val="0"/>
                <w:kern w:val="0"/>
                <w:sz w:val="30"/>
                <w:szCs w:val="30"/>
              </w:rPr>
            </w:pPr>
            <w:r>
              <w:rPr>
                <w:rFonts w:hint="eastAsia" w:ascii="黑体" w:hAnsi="黑体" w:eastAsia="黑体"/>
                <w:snapToGrid w:val="0"/>
                <w:kern w:val="0"/>
                <w:sz w:val="30"/>
                <w:szCs w:val="30"/>
              </w:rPr>
              <w:t>被征地单位</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黑体" w:hAnsi="黑体" w:eastAsia="黑体"/>
                <w:snapToGrid w:val="0"/>
                <w:kern w:val="0"/>
                <w:sz w:val="30"/>
                <w:szCs w:val="30"/>
              </w:rPr>
            </w:pPr>
            <w:r>
              <w:rPr>
                <w:rFonts w:hint="eastAsia" w:ascii="黑体" w:hAnsi="黑体" w:eastAsia="黑体"/>
                <w:snapToGrid w:val="0"/>
                <w:kern w:val="0"/>
                <w:sz w:val="30"/>
                <w:szCs w:val="30"/>
              </w:rPr>
              <w:t>总面积</w:t>
            </w:r>
          </w:p>
        </w:tc>
        <w:tc>
          <w:tcPr>
            <w:tcW w:w="1252"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黑体" w:hAnsi="黑体" w:eastAsia="黑体"/>
                <w:snapToGrid w:val="0"/>
                <w:kern w:val="0"/>
                <w:sz w:val="30"/>
                <w:szCs w:val="30"/>
              </w:rPr>
            </w:pPr>
            <w:r>
              <w:rPr>
                <w:rFonts w:hint="eastAsia" w:ascii="黑体" w:hAnsi="黑体" w:eastAsia="黑体"/>
                <w:snapToGrid w:val="0"/>
                <w:kern w:val="0"/>
                <w:sz w:val="30"/>
                <w:szCs w:val="30"/>
              </w:rPr>
              <w:t>农用地面积</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黑体" w:hAnsi="黑体" w:eastAsia="黑体"/>
                <w:snapToGrid w:val="0"/>
                <w:kern w:val="0"/>
                <w:sz w:val="30"/>
                <w:szCs w:val="30"/>
              </w:rPr>
            </w:pPr>
            <w:r>
              <w:rPr>
                <w:rFonts w:hint="eastAsia" w:ascii="黑体" w:hAnsi="黑体" w:eastAsia="黑体"/>
                <w:snapToGrid w:val="0"/>
                <w:kern w:val="0"/>
                <w:sz w:val="30"/>
                <w:szCs w:val="30"/>
              </w:rPr>
              <w:t>耕地</w:t>
            </w:r>
          </w:p>
          <w:p>
            <w:pPr>
              <w:snapToGrid w:val="0"/>
              <w:jc w:val="center"/>
              <w:rPr>
                <w:rFonts w:ascii="黑体" w:hAnsi="黑体" w:eastAsia="黑体"/>
                <w:snapToGrid w:val="0"/>
                <w:kern w:val="0"/>
                <w:sz w:val="30"/>
                <w:szCs w:val="30"/>
              </w:rPr>
            </w:pPr>
            <w:r>
              <w:rPr>
                <w:rFonts w:hint="eastAsia" w:ascii="黑体" w:hAnsi="黑体" w:eastAsia="黑体"/>
                <w:snapToGrid w:val="0"/>
                <w:kern w:val="0"/>
                <w:sz w:val="30"/>
                <w:szCs w:val="30"/>
              </w:rPr>
              <w:t>面积</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黑体" w:hAnsi="黑体" w:eastAsia="黑体"/>
                <w:snapToGrid w:val="0"/>
                <w:kern w:val="0"/>
                <w:sz w:val="30"/>
                <w:szCs w:val="30"/>
              </w:rPr>
            </w:pPr>
            <w:r>
              <w:rPr>
                <w:rFonts w:hint="eastAsia" w:ascii="黑体" w:hAnsi="黑体" w:eastAsia="黑体"/>
                <w:snapToGrid w:val="0"/>
                <w:kern w:val="0"/>
                <w:sz w:val="30"/>
                <w:szCs w:val="30"/>
              </w:rPr>
              <w:t>建设用地面积</w:t>
            </w:r>
          </w:p>
        </w:tc>
        <w:tc>
          <w:tcPr>
            <w:tcW w:w="1200" w:type="dxa"/>
            <w:tcBorders>
              <w:top w:val="single" w:color="auto" w:sz="8" w:space="0"/>
              <w:left w:val="single" w:color="auto" w:sz="8" w:space="0"/>
              <w:bottom w:val="single" w:color="auto" w:sz="8" w:space="0"/>
              <w:right w:val="single" w:color="auto" w:sz="8" w:space="0"/>
            </w:tcBorders>
            <w:noWrap w:val="0"/>
            <w:vAlign w:val="center"/>
          </w:tcPr>
          <w:p>
            <w:pPr>
              <w:snapToGrid w:val="0"/>
              <w:jc w:val="center"/>
              <w:rPr>
                <w:rFonts w:ascii="黑体" w:hAnsi="黑体" w:eastAsia="黑体"/>
                <w:snapToGrid w:val="0"/>
                <w:kern w:val="0"/>
                <w:sz w:val="30"/>
                <w:szCs w:val="30"/>
              </w:rPr>
            </w:pPr>
            <w:r>
              <w:rPr>
                <w:rFonts w:hint="eastAsia" w:ascii="黑体" w:hAnsi="黑体" w:eastAsia="黑体"/>
                <w:snapToGrid w:val="0"/>
                <w:kern w:val="0"/>
                <w:sz w:val="30"/>
                <w:szCs w:val="30"/>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76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b/>
                <w:bCs/>
                <w:color w:val="000000"/>
                <w:sz w:val="28"/>
                <w:szCs w:val="28"/>
              </w:rPr>
            </w:pPr>
            <w:r>
              <w:rPr>
                <w:rFonts w:hint="eastAsia" w:ascii="仿宋" w:hAnsi="仿宋" w:eastAsia="仿宋"/>
                <w:color w:val="000000"/>
                <w:sz w:val="28"/>
                <w:szCs w:val="28"/>
              </w:rPr>
              <w:t>何棠下村经济联合社</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0.1660</w:t>
            </w:r>
          </w:p>
        </w:tc>
        <w:tc>
          <w:tcPr>
            <w:tcW w:w="12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0.1660</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0.0000</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0.0000</w:t>
            </w:r>
          </w:p>
        </w:tc>
        <w:tc>
          <w:tcPr>
            <w:tcW w:w="120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1" w:hRule="atLeast"/>
          <w:jc w:val="center"/>
        </w:trPr>
        <w:tc>
          <w:tcPr>
            <w:tcW w:w="276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何棠下村光明经济合作社</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1.4385</w:t>
            </w:r>
          </w:p>
        </w:tc>
        <w:tc>
          <w:tcPr>
            <w:tcW w:w="12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1.3423</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0.0303</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0.0962</w:t>
            </w:r>
          </w:p>
        </w:tc>
        <w:tc>
          <w:tcPr>
            <w:tcW w:w="120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76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何棠下村新兴经济合作社</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0.0004</w:t>
            </w:r>
          </w:p>
        </w:tc>
        <w:tc>
          <w:tcPr>
            <w:tcW w:w="12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0.0004</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0.0000</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0.0000</w:t>
            </w:r>
          </w:p>
        </w:tc>
        <w:tc>
          <w:tcPr>
            <w:tcW w:w="120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color w:val="000000"/>
                <w:sz w:val="28"/>
                <w:szCs w:val="28"/>
              </w:rPr>
            </w:pPr>
            <w:r>
              <w:rPr>
                <w:rFonts w:hint="eastAsia" w:ascii="仿宋" w:hAnsi="仿宋" w:eastAsia="仿宋"/>
                <w:color w:val="000000"/>
                <w:sz w:val="28"/>
                <w:szCs w:val="28"/>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9" w:hRule="atLeast"/>
          <w:jc w:val="center"/>
        </w:trPr>
        <w:tc>
          <w:tcPr>
            <w:tcW w:w="2764"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楷体" w:hAnsi="楷体" w:eastAsia="楷体"/>
                <w:bCs/>
                <w:color w:val="000000"/>
                <w:sz w:val="28"/>
                <w:szCs w:val="28"/>
              </w:rPr>
            </w:pPr>
            <w:r>
              <w:rPr>
                <w:rFonts w:ascii="楷体" w:hAnsi="楷体" w:eastAsia="楷体"/>
                <w:bCs/>
                <w:color w:val="000000"/>
                <w:sz w:val="28"/>
                <w:szCs w:val="28"/>
              </w:rPr>
              <w:t>合计</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bCs/>
                <w:color w:val="000000"/>
                <w:sz w:val="28"/>
                <w:szCs w:val="28"/>
              </w:rPr>
            </w:pPr>
            <w:r>
              <w:rPr>
                <w:rFonts w:hint="eastAsia" w:ascii="仿宋" w:hAnsi="仿宋" w:eastAsia="仿宋"/>
                <w:bCs/>
                <w:color w:val="000000"/>
                <w:sz w:val="28"/>
                <w:szCs w:val="28"/>
              </w:rPr>
              <w:t>1.6049</w:t>
            </w:r>
          </w:p>
        </w:tc>
        <w:tc>
          <w:tcPr>
            <w:tcW w:w="1252"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bCs/>
                <w:color w:val="000000"/>
                <w:sz w:val="28"/>
                <w:szCs w:val="28"/>
              </w:rPr>
            </w:pPr>
            <w:r>
              <w:rPr>
                <w:rFonts w:hint="eastAsia" w:ascii="仿宋" w:hAnsi="仿宋" w:eastAsia="仿宋"/>
                <w:bCs/>
                <w:color w:val="000000"/>
                <w:sz w:val="28"/>
                <w:szCs w:val="28"/>
              </w:rPr>
              <w:t>1.5087</w:t>
            </w:r>
          </w:p>
        </w:tc>
        <w:tc>
          <w:tcPr>
            <w:tcW w:w="108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bCs/>
                <w:color w:val="000000"/>
                <w:sz w:val="28"/>
                <w:szCs w:val="28"/>
              </w:rPr>
            </w:pPr>
            <w:r>
              <w:rPr>
                <w:rFonts w:hint="eastAsia" w:ascii="仿宋" w:hAnsi="仿宋" w:eastAsia="仿宋"/>
                <w:bCs/>
                <w:color w:val="000000"/>
                <w:sz w:val="28"/>
                <w:szCs w:val="28"/>
              </w:rPr>
              <w:t>0.0303</w:t>
            </w:r>
          </w:p>
        </w:tc>
        <w:tc>
          <w:tcPr>
            <w:tcW w:w="126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bCs/>
                <w:color w:val="000000"/>
                <w:sz w:val="28"/>
                <w:szCs w:val="28"/>
              </w:rPr>
            </w:pPr>
            <w:r>
              <w:rPr>
                <w:rFonts w:hint="eastAsia" w:ascii="仿宋" w:hAnsi="仿宋" w:eastAsia="仿宋"/>
                <w:bCs/>
                <w:color w:val="000000"/>
                <w:sz w:val="28"/>
                <w:szCs w:val="28"/>
              </w:rPr>
              <w:t>0.0962</w:t>
            </w:r>
          </w:p>
        </w:tc>
        <w:tc>
          <w:tcPr>
            <w:tcW w:w="1200"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textAlignment w:val="center"/>
              <w:rPr>
                <w:rFonts w:ascii="仿宋" w:hAnsi="仿宋" w:eastAsia="仿宋"/>
                <w:bCs/>
                <w:color w:val="000000"/>
                <w:sz w:val="28"/>
                <w:szCs w:val="28"/>
              </w:rPr>
            </w:pPr>
            <w:r>
              <w:rPr>
                <w:rFonts w:hint="eastAsia" w:ascii="仿宋" w:hAnsi="仿宋" w:eastAsia="仿宋"/>
                <w:bCs/>
                <w:color w:val="000000"/>
                <w:sz w:val="28"/>
                <w:szCs w:val="28"/>
              </w:rPr>
              <w:t>0.0000</w:t>
            </w:r>
          </w:p>
        </w:tc>
      </w:tr>
    </w:tbl>
    <w:p>
      <w:pPr>
        <w:tabs>
          <w:tab w:val="left" w:pos="6283"/>
        </w:tabs>
        <w:snapToGrid w:val="0"/>
        <w:spacing w:line="579" w:lineRule="exact"/>
        <w:ind w:firstLine="640" w:firstLineChars="200"/>
        <w:rPr>
          <w:rFonts w:ascii="黑体" w:hAnsi="黑体" w:eastAsia="黑体"/>
          <w:snapToGrid w:val="0"/>
          <w:color w:val="000000"/>
          <w:kern w:val="0"/>
          <w:sz w:val="32"/>
          <w:szCs w:val="32"/>
          <w:lang w:bidi="ar"/>
        </w:rPr>
      </w:pPr>
      <w:r>
        <w:rPr>
          <w:rFonts w:ascii="黑体" w:hAnsi="黑体" w:eastAsia="黑体"/>
          <w:snapToGrid w:val="0"/>
          <w:color w:val="000000"/>
          <w:kern w:val="0"/>
          <w:sz w:val="32"/>
          <w:szCs w:val="32"/>
          <w:lang w:bidi="ar"/>
        </w:rPr>
        <w:t>四、补偿方式和标准</w:t>
      </w:r>
    </w:p>
    <w:p>
      <w:pPr>
        <w:tabs>
          <w:tab w:val="left" w:pos="6283"/>
        </w:tabs>
        <w:snapToGrid w:val="0"/>
        <w:spacing w:line="579" w:lineRule="exact"/>
        <w:ind w:firstLine="640" w:firstLineChars="200"/>
        <w:rPr>
          <w:rFonts w:hint="eastAsia" w:ascii="楷体" w:hAnsi="楷体" w:eastAsia="楷体"/>
          <w:snapToGrid w:val="0"/>
          <w:color w:val="000000"/>
          <w:kern w:val="0"/>
          <w:sz w:val="32"/>
          <w:szCs w:val="32"/>
          <w:lang w:bidi="ar"/>
        </w:rPr>
      </w:pPr>
      <w:r>
        <w:rPr>
          <w:rFonts w:hint="eastAsia" w:ascii="楷体" w:hAnsi="楷体" w:eastAsia="楷体"/>
          <w:snapToGrid w:val="0"/>
          <w:color w:val="000000"/>
          <w:kern w:val="0"/>
          <w:sz w:val="32"/>
          <w:szCs w:val="32"/>
          <w:lang w:bidi="ar"/>
        </w:rPr>
        <w:t>（一）土地补偿费和安置补助费标准。</w:t>
      </w:r>
    </w:p>
    <w:p>
      <w:p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hint="eastAsia" w:ascii="仿宋" w:hAnsi="仿宋" w:eastAsia="仿宋"/>
          <w:snapToGrid w:val="0"/>
          <w:color w:val="000000"/>
          <w:kern w:val="0"/>
          <w:sz w:val="32"/>
          <w:szCs w:val="32"/>
          <w:lang w:bidi="ar"/>
        </w:rPr>
        <w:t>根据《广东省自然资源厅关于广州市征收农用地区片综合地价成果的批复》（粤自然资函〔2024〕103号）的规定，土地补偿标准为70.2万元/公顷，安置补助标准为124.8万元/公顷。</w:t>
      </w:r>
    </w:p>
    <w:p>
      <w:pPr>
        <w:numPr>
          <w:ilvl w:val="0"/>
          <w:numId w:val="1"/>
        </w:numPr>
        <w:tabs>
          <w:tab w:val="left" w:pos="6283"/>
        </w:tabs>
        <w:snapToGrid w:val="0"/>
        <w:spacing w:line="579" w:lineRule="exact"/>
        <w:ind w:firstLine="640" w:firstLineChars="200"/>
        <w:rPr>
          <w:rFonts w:hint="eastAsia" w:ascii="楷体" w:hAnsi="楷体" w:eastAsia="楷体"/>
          <w:snapToGrid w:val="0"/>
          <w:color w:val="000000"/>
          <w:kern w:val="0"/>
          <w:sz w:val="32"/>
          <w:szCs w:val="32"/>
          <w:lang w:bidi="ar"/>
        </w:rPr>
      </w:pPr>
      <w:r>
        <w:rPr>
          <w:rFonts w:hint="eastAsia" w:ascii="楷体" w:hAnsi="楷体" w:eastAsia="楷体"/>
          <w:snapToGrid w:val="0"/>
          <w:color w:val="000000"/>
          <w:kern w:val="0"/>
          <w:sz w:val="32"/>
          <w:szCs w:val="32"/>
          <w:lang w:bidi="ar"/>
        </w:rPr>
        <w:t>农村村民住宅补偿。</w:t>
      </w:r>
    </w:p>
    <w:p>
      <w:pPr>
        <w:numPr>
          <w:numId w:val="0"/>
        </w:num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hint="eastAsia" w:ascii="仿宋" w:hAnsi="仿宋" w:eastAsia="仿宋"/>
          <w:snapToGrid w:val="0"/>
          <w:color w:val="000000"/>
          <w:kern w:val="0"/>
          <w:sz w:val="32"/>
          <w:szCs w:val="32"/>
          <w:lang w:bidi="ar"/>
        </w:rPr>
        <w:t>征地范围内的农村村民住宅按黄埔区政府有关规定进行补偿。</w:t>
      </w:r>
    </w:p>
    <w:p>
      <w:pPr>
        <w:numPr>
          <w:ilvl w:val="0"/>
          <w:numId w:val="1"/>
        </w:numPr>
        <w:tabs>
          <w:tab w:val="left" w:pos="6283"/>
        </w:tabs>
        <w:snapToGrid w:val="0"/>
        <w:spacing w:line="579" w:lineRule="exact"/>
        <w:ind w:left="0" w:leftChars="0" w:firstLine="640" w:firstLineChars="200"/>
        <w:rPr>
          <w:rFonts w:hint="eastAsia" w:ascii="楷体" w:hAnsi="楷体" w:eastAsia="楷体"/>
          <w:snapToGrid w:val="0"/>
          <w:color w:val="000000"/>
          <w:kern w:val="0"/>
          <w:sz w:val="32"/>
          <w:szCs w:val="32"/>
          <w:lang w:bidi="ar"/>
        </w:rPr>
      </w:pPr>
      <w:r>
        <w:rPr>
          <w:rFonts w:hint="eastAsia" w:ascii="楷体" w:hAnsi="楷体" w:eastAsia="楷体"/>
          <w:snapToGrid w:val="0"/>
          <w:color w:val="000000"/>
          <w:kern w:val="0"/>
          <w:sz w:val="32"/>
          <w:szCs w:val="32"/>
          <w:lang w:bidi="ar"/>
        </w:rPr>
        <w:t>青苗及其他地上附着物补偿。</w:t>
      </w:r>
    </w:p>
    <w:p>
      <w:pPr>
        <w:numPr>
          <w:numId w:val="0"/>
        </w:num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hint="eastAsia" w:ascii="仿宋" w:hAnsi="仿宋" w:eastAsia="仿宋"/>
          <w:snapToGrid w:val="0"/>
          <w:color w:val="000000"/>
          <w:kern w:val="0"/>
          <w:sz w:val="32"/>
          <w:szCs w:val="32"/>
          <w:lang w:bidi="ar"/>
        </w:rPr>
        <w:t>征地范围内的青苗补偿费和附着物补偿费按黄埔区政府有关规定进行补偿。</w:t>
      </w:r>
    </w:p>
    <w:p>
      <w:pPr>
        <w:tabs>
          <w:tab w:val="left" w:pos="6283"/>
        </w:tabs>
        <w:snapToGrid w:val="0"/>
        <w:spacing w:line="579" w:lineRule="exact"/>
        <w:ind w:firstLine="640" w:firstLineChars="200"/>
        <w:rPr>
          <w:rFonts w:hint="eastAsia" w:ascii="黑体" w:hAnsi="黑体" w:eastAsia="黑体"/>
          <w:snapToGrid w:val="0"/>
          <w:color w:val="000000"/>
          <w:kern w:val="0"/>
          <w:sz w:val="32"/>
          <w:szCs w:val="32"/>
          <w:lang w:bidi="ar"/>
        </w:rPr>
      </w:pPr>
      <w:r>
        <w:rPr>
          <w:rFonts w:hint="eastAsia" w:ascii="黑体" w:hAnsi="黑体" w:eastAsia="黑体"/>
          <w:snapToGrid w:val="0"/>
          <w:color w:val="000000"/>
          <w:kern w:val="0"/>
          <w:sz w:val="32"/>
          <w:szCs w:val="32"/>
          <w:lang w:bidi="ar"/>
        </w:rPr>
        <w:t>五、安置对象</w:t>
      </w:r>
    </w:p>
    <w:p>
      <w:p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hint="eastAsia" w:ascii="仿宋" w:hAnsi="仿宋" w:eastAsia="仿宋"/>
          <w:snapToGrid w:val="0"/>
          <w:color w:val="000000"/>
          <w:kern w:val="0"/>
          <w:sz w:val="32"/>
          <w:szCs w:val="32"/>
          <w:lang w:bidi="ar"/>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tabs>
          <w:tab w:val="left" w:pos="6283"/>
        </w:tabs>
        <w:snapToGrid w:val="0"/>
        <w:spacing w:line="579" w:lineRule="exact"/>
        <w:ind w:firstLine="640" w:firstLineChars="200"/>
        <w:rPr>
          <w:rFonts w:hint="eastAsia" w:ascii="黑体" w:hAnsi="黑体" w:eastAsia="黑体"/>
          <w:snapToGrid w:val="0"/>
          <w:color w:val="000000"/>
          <w:kern w:val="0"/>
          <w:sz w:val="32"/>
          <w:szCs w:val="32"/>
          <w:lang w:bidi="ar"/>
        </w:rPr>
      </w:pPr>
      <w:r>
        <w:rPr>
          <w:rFonts w:hint="eastAsia" w:ascii="黑体" w:hAnsi="黑体" w:eastAsia="黑体"/>
          <w:snapToGrid w:val="0"/>
          <w:color w:val="000000"/>
          <w:kern w:val="0"/>
          <w:sz w:val="32"/>
          <w:szCs w:val="32"/>
          <w:lang w:bidi="ar"/>
        </w:rPr>
        <w:t>六、安置方式和社会保障</w:t>
      </w:r>
    </w:p>
    <w:p>
      <w:p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hint="eastAsia" w:ascii="楷体" w:hAnsi="楷体" w:eastAsia="楷体"/>
          <w:snapToGrid w:val="0"/>
          <w:color w:val="000000"/>
          <w:kern w:val="0"/>
          <w:sz w:val="32"/>
          <w:szCs w:val="32"/>
          <w:lang w:bidi="ar"/>
        </w:rPr>
        <w:t>（一）货币安置。</w:t>
      </w:r>
      <w:r>
        <w:rPr>
          <w:rFonts w:hint="eastAsia" w:ascii="仿宋" w:hAnsi="仿宋" w:eastAsia="仿宋"/>
          <w:snapToGrid w:val="0"/>
          <w:color w:val="000000"/>
          <w:kern w:val="0"/>
          <w:sz w:val="32"/>
          <w:szCs w:val="32"/>
          <w:lang w:bidi="ar"/>
        </w:rPr>
        <w:t>该批次用地为村经济发展留用地，未发生实际的征地补偿费用。</w:t>
      </w:r>
    </w:p>
    <w:p>
      <w:p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hint="eastAsia" w:ascii="楷体" w:hAnsi="楷体" w:eastAsia="楷体"/>
          <w:snapToGrid w:val="0"/>
          <w:color w:val="000000"/>
          <w:kern w:val="0"/>
          <w:sz w:val="32"/>
          <w:szCs w:val="32"/>
          <w:lang w:bidi="ar"/>
        </w:rPr>
        <w:t>（二）留用地安置。</w:t>
      </w:r>
      <w:r>
        <w:rPr>
          <w:rFonts w:hint="eastAsia" w:ascii="仿宋" w:hAnsi="仿宋" w:eastAsia="仿宋"/>
          <w:snapToGrid w:val="0"/>
          <w:color w:val="000000"/>
          <w:kern w:val="0"/>
          <w:sz w:val="32"/>
          <w:szCs w:val="32"/>
          <w:lang w:bidi="ar"/>
        </w:rPr>
        <w:t>该批次为</w:t>
      </w:r>
      <w:r>
        <w:rPr>
          <w:rFonts w:hint="eastAsia" w:ascii="仿宋" w:hAnsi="仿宋" w:eastAsia="仿宋"/>
          <w:snapToGrid w:val="0"/>
          <w:color w:val="000000"/>
          <w:kern w:val="0"/>
          <w:sz w:val="32"/>
          <w:szCs w:val="32"/>
          <w:lang w:val="en-US" w:eastAsia="zh-CN" w:bidi="ar"/>
        </w:rPr>
        <w:t>广州市黄埔区龙湖街</w:t>
      </w:r>
      <w:r>
        <w:rPr>
          <w:rFonts w:hint="eastAsia" w:ascii="仿宋" w:hAnsi="仿宋" w:eastAsia="仿宋"/>
          <w:snapToGrid w:val="0"/>
          <w:color w:val="000000"/>
          <w:kern w:val="0"/>
          <w:sz w:val="32"/>
          <w:szCs w:val="32"/>
          <w:lang w:bidi="ar"/>
        </w:rPr>
        <w:t>何棠下村留用地项目，使用留用地指标办理农用地转用和征收手续，按照《广东省人民政府办公厅关于加强征收农村集体土地留用地安置管理工作的意见》（粤府办〔2016〕30号）的相关规定，不需再安排留用地。</w:t>
      </w:r>
    </w:p>
    <w:p>
      <w:pPr>
        <w:tabs>
          <w:tab w:val="left" w:pos="6283"/>
        </w:tabs>
        <w:snapToGrid w:val="0"/>
        <w:spacing w:line="579" w:lineRule="exact"/>
        <w:ind w:firstLine="640" w:firstLineChars="200"/>
        <w:rPr>
          <w:rFonts w:hint="eastAsia" w:ascii="仿宋" w:hAnsi="仿宋" w:eastAsia="仿宋"/>
          <w:snapToGrid w:val="0"/>
          <w:color w:val="000000"/>
          <w:kern w:val="0"/>
          <w:sz w:val="32"/>
          <w:szCs w:val="32"/>
          <w:lang w:bidi="ar"/>
        </w:rPr>
      </w:pPr>
      <w:r>
        <w:rPr>
          <w:rFonts w:hint="eastAsia" w:ascii="楷体" w:hAnsi="楷体" w:eastAsia="楷体"/>
          <w:snapToGrid w:val="0"/>
          <w:color w:val="000000"/>
          <w:kern w:val="0"/>
          <w:sz w:val="32"/>
          <w:szCs w:val="32"/>
          <w:lang w:bidi="ar"/>
        </w:rPr>
        <w:t>（三）社会保障费用。</w:t>
      </w:r>
      <w:r>
        <w:rPr>
          <w:rFonts w:hint="eastAsia" w:ascii="仿宋" w:hAnsi="仿宋" w:eastAsia="仿宋"/>
          <w:snapToGrid w:val="0"/>
          <w:color w:val="000000"/>
          <w:kern w:val="0"/>
          <w:sz w:val="32"/>
          <w:szCs w:val="32"/>
          <w:lang w:bidi="ar"/>
        </w:rPr>
        <w:t>根据《广东省人民政府办公厅转发省人力资源社会保障厅关于进一步完善我省被征地农民养老保障政策意见的通知》（粤府办〔2021〕22号）规定，该批次为</w:t>
      </w:r>
      <w:r>
        <w:rPr>
          <w:rFonts w:hint="eastAsia" w:ascii="仿宋" w:hAnsi="仿宋" w:eastAsia="仿宋"/>
          <w:snapToGrid w:val="0"/>
          <w:color w:val="000000"/>
          <w:kern w:val="0"/>
          <w:sz w:val="32"/>
          <w:szCs w:val="32"/>
          <w:lang w:val="en-US" w:eastAsia="zh-CN" w:bidi="ar"/>
        </w:rPr>
        <w:t>广州市黄埔区龙湖街</w:t>
      </w:r>
      <w:r>
        <w:rPr>
          <w:rFonts w:hint="eastAsia" w:ascii="仿宋" w:hAnsi="仿宋" w:eastAsia="仿宋"/>
          <w:snapToGrid w:val="0"/>
          <w:color w:val="000000"/>
          <w:kern w:val="0"/>
          <w:sz w:val="32"/>
          <w:szCs w:val="32"/>
          <w:lang w:bidi="ar"/>
        </w:rPr>
        <w:t>何棠下村留用地项目，不需计提社保资金。</w:t>
      </w:r>
      <w:bookmarkStart w:id="0" w:name="_GoBack"/>
      <w:bookmarkEnd w:id="0"/>
    </w:p>
    <w:p>
      <w:pPr>
        <w:rPr>
          <w:rFonts w:hint="eastAsia" w:ascii="Times New Roman" w:hAnsi="Times New Roman" w:eastAsia="仿宋_GB2312" w:cs="Times New Roman"/>
          <w:sz w:val="32"/>
          <w:szCs w:val="32"/>
          <w:lang w:val="en-US" w:eastAsia="zh-CN"/>
        </w:rPr>
      </w:pPr>
    </w:p>
    <w:p>
      <w:pPr>
        <w:pStyle w:val="7"/>
        <w:tabs>
          <w:tab w:val="left" w:pos="3960"/>
        </w:tabs>
        <w:spacing w:line="520" w:lineRule="exact"/>
        <w:ind w:left="5544" w:right="-440" w:hanging="5544" w:hangingChars="1800"/>
        <w:rPr>
          <w:rFonts w:hint="default" w:ascii="Times New Roman" w:hAnsi="Times New Roman" w:eastAsia="方正小标宋简体" w:cs="Times New Roman"/>
          <w:color w:val="000000"/>
          <w:sz w:val="44"/>
          <w:szCs w:val="44"/>
          <w:lang w:val="en-US" w:eastAsia="zh-CN"/>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r>
        <w:rPr>
          <w:rFonts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ascii="Times New Roman" w:hAnsi="Times New Roman" w:eastAsia="仿宋_GB2312" w:cs="Times New Roman"/>
          <w:sz w:val="32"/>
          <w:szCs w:val="32"/>
        </w:rPr>
        <w:t>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3F1A3"/>
    <w:multiLevelType w:val="singleLevel"/>
    <w:tmpl w:val="D8C3F1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6F904891"/>
    <w:rsid w:val="077F1A15"/>
    <w:rsid w:val="0958213C"/>
    <w:rsid w:val="0ACD7CCF"/>
    <w:rsid w:val="0F3D548B"/>
    <w:rsid w:val="115703A7"/>
    <w:rsid w:val="116F21AC"/>
    <w:rsid w:val="148C021A"/>
    <w:rsid w:val="16404D82"/>
    <w:rsid w:val="16A53251"/>
    <w:rsid w:val="1B767B1A"/>
    <w:rsid w:val="21D0730B"/>
    <w:rsid w:val="23A44668"/>
    <w:rsid w:val="2591116E"/>
    <w:rsid w:val="27BD6600"/>
    <w:rsid w:val="27E93CDE"/>
    <w:rsid w:val="280723EB"/>
    <w:rsid w:val="28381734"/>
    <w:rsid w:val="2A4735BD"/>
    <w:rsid w:val="2B2D7CFF"/>
    <w:rsid w:val="2F0729B2"/>
    <w:rsid w:val="2FFA43AB"/>
    <w:rsid w:val="31D71FA4"/>
    <w:rsid w:val="33983FF1"/>
    <w:rsid w:val="346C2C64"/>
    <w:rsid w:val="3AD67F17"/>
    <w:rsid w:val="3B3E256A"/>
    <w:rsid w:val="3DCC341E"/>
    <w:rsid w:val="3EB6026E"/>
    <w:rsid w:val="3EC142D3"/>
    <w:rsid w:val="404B008C"/>
    <w:rsid w:val="43CF14AC"/>
    <w:rsid w:val="43DB16C2"/>
    <w:rsid w:val="444339C4"/>
    <w:rsid w:val="44CD0E59"/>
    <w:rsid w:val="4BFB3F06"/>
    <w:rsid w:val="4CE92F1D"/>
    <w:rsid w:val="4D8B5B2D"/>
    <w:rsid w:val="502256AF"/>
    <w:rsid w:val="56A85CDC"/>
    <w:rsid w:val="56E2205A"/>
    <w:rsid w:val="58B036EC"/>
    <w:rsid w:val="5C1E3DED"/>
    <w:rsid w:val="5D2A07BB"/>
    <w:rsid w:val="5FCB627A"/>
    <w:rsid w:val="60863EAF"/>
    <w:rsid w:val="67B350A7"/>
    <w:rsid w:val="68D63CB7"/>
    <w:rsid w:val="69CC6BCA"/>
    <w:rsid w:val="6B2B0BFD"/>
    <w:rsid w:val="6C5E66E4"/>
    <w:rsid w:val="6F904891"/>
    <w:rsid w:val="72D67EFE"/>
    <w:rsid w:val="77E45273"/>
    <w:rsid w:val="7DE35179"/>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0"/>
    <w:pPr>
      <w:ind w:firstLine="630"/>
    </w:pPr>
    <w:rPr>
      <w:rFonts w:ascii="黑体" w:hAnsi="黑体" w:eastAsia="黑体"/>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864</Words>
  <Characters>999</Characters>
  <Lines>0</Lines>
  <Paragraphs>0</Paragraphs>
  <TotalTime>0</TotalTime>
  <ScaleCrop>false</ScaleCrop>
  <LinksUpToDate>false</LinksUpToDate>
  <CharactersWithSpaces>1001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2024-02-19T03:47:00Z</cp:lastPrinted>
  <dcterms:modified xsi:type="dcterms:W3CDTF">2024-03-11T06:52:04Z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5B9232B0420C4099A1D401C4350B46CD</vt:lpwstr>
  </property>
</Properties>
</file>