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default" w:ascii="Times New Roman" w:hAnsi="Times New Roman" w:eastAsia="黑体" w:cs="Times New Roman"/>
          <w:color w:val="000000"/>
          <w:sz w:val="32"/>
          <w:szCs w:val="32"/>
          <w:lang w:val="en-US" w:eastAsia="zh-CN"/>
        </w:rPr>
      </w:pPr>
      <w:r>
        <w:rPr>
          <w:rFonts w:hint="eastAsia" w:ascii="Times New Roman" w:hAnsi="Times New Roman" w:eastAsia="黑体" w:cs="Times New Roman"/>
          <w:color w:val="000000"/>
          <w:sz w:val="32"/>
          <w:szCs w:val="32"/>
          <w:lang w:val="en-US" w:eastAsia="zh-CN"/>
        </w:rPr>
        <w:t>附件2</w:t>
      </w:r>
    </w:p>
    <w:p>
      <w:pPr>
        <w:adjustRightInd w:val="0"/>
        <w:snapToGrid w:val="0"/>
        <w:jc w:val="center"/>
        <w:rPr>
          <w:rFonts w:hint="eastAsia" w:ascii="Times New Roman" w:hAnsi="Times New Roman" w:eastAsia="方正小标宋简体" w:cs="Times New Roman"/>
          <w:color w:val="000000"/>
          <w:sz w:val="44"/>
          <w:szCs w:val="44"/>
          <w:lang w:val="en-US" w:eastAsia="zh-CN"/>
        </w:rPr>
      </w:pPr>
    </w:p>
    <w:p>
      <w:pPr>
        <w:adjustRightInd w:val="0"/>
        <w:snapToGrid w:val="0"/>
        <w:jc w:val="center"/>
        <w:rPr>
          <w:rFonts w:hint="default" w:ascii="Times New Roman" w:hAnsi="Times New Roman" w:eastAsia="方正小标宋简体" w:cs="Times New Roman"/>
          <w:color w:val="000000"/>
          <w:sz w:val="44"/>
          <w:szCs w:val="44"/>
          <w:lang w:val="en-US" w:eastAsia="zh-CN"/>
        </w:rPr>
      </w:pPr>
      <w:r>
        <w:rPr>
          <w:rFonts w:hint="eastAsia" w:ascii="Times New Roman" w:hAnsi="Times New Roman" w:eastAsia="方正小标宋简体" w:cs="Times New Roman"/>
          <w:color w:val="000000"/>
          <w:sz w:val="44"/>
          <w:szCs w:val="44"/>
          <w:lang w:val="en-US" w:eastAsia="zh-CN"/>
        </w:rPr>
        <w:t>关于</w:t>
      </w:r>
      <w:r>
        <w:rPr>
          <w:rFonts w:hint="default" w:ascii="Times New Roman" w:hAnsi="Times New Roman" w:eastAsia="方正小标宋简体" w:cs="Times New Roman"/>
          <w:color w:val="000000"/>
          <w:sz w:val="44"/>
          <w:szCs w:val="44"/>
          <w:lang w:val="en-US" w:eastAsia="zh-CN"/>
        </w:rPr>
        <w:t>广州市黄埔区（中新广州知识城）</w:t>
      </w:r>
      <w:r>
        <w:rPr>
          <w:rFonts w:hint="eastAsia" w:ascii="Times New Roman" w:hAnsi="Times New Roman" w:eastAsia="方正小标宋简体" w:cs="Times New Roman"/>
          <w:color w:val="000000"/>
          <w:sz w:val="44"/>
          <w:szCs w:val="44"/>
          <w:lang w:val="en-US" w:eastAsia="zh-CN"/>
        </w:rPr>
        <w:t>2024   年度第三批次</w:t>
      </w:r>
      <w:r>
        <w:rPr>
          <w:rFonts w:hint="default" w:ascii="Times New Roman" w:hAnsi="Times New Roman" w:eastAsia="方正小标宋简体" w:cs="Times New Roman"/>
          <w:color w:val="000000"/>
          <w:sz w:val="44"/>
          <w:szCs w:val="44"/>
          <w:lang w:val="en-US" w:eastAsia="zh-CN"/>
        </w:rPr>
        <w:t>城镇建设用地</w:t>
      </w:r>
      <w:r>
        <w:rPr>
          <w:rFonts w:hint="eastAsia" w:ascii="Times New Roman" w:hAnsi="Times New Roman" w:eastAsia="方正小标宋简体" w:cs="Times New Roman"/>
          <w:color w:val="000000"/>
          <w:sz w:val="44"/>
          <w:szCs w:val="44"/>
          <w:lang w:val="en-US" w:eastAsia="zh-CN"/>
        </w:rPr>
        <w:t>项目</w:t>
      </w:r>
      <w:r>
        <w:rPr>
          <w:rFonts w:hint="default" w:ascii="Times New Roman" w:hAnsi="Times New Roman" w:eastAsia="方正小标宋简体" w:cs="Times New Roman"/>
          <w:color w:val="000000"/>
          <w:sz w:val="44"/>
          <w:szCs w:val="44"/>
          <w:lang w:val="en-US" w:eastAsia="zh-CN"/>
        </w:rPr>
        <w:t>被征地</w:t>
      </w:r>
      <w:r>
        <w:rPr>
          <w:rFonts w:hint="eastAsia" w:ascii="Times New Roman" w:hAnsi="Times New Roman" w:eastAsia="方正小标宋简体" w:cs="Times New Roman"/>
          <w:color w:val="000000"/>
          <w:sz w:val="44"/>
          <w:szCs w:val="44"/>
          <w:lang w:val="en-US" w:eastAsia="zh-CN"/>
        </w:rPr>
        <w:t xml:space="preserve">     </w:t>
      </w:r>
      <w:r>
        <w:rPr>
          <w:rFonts w:hint="default" w:ascii="Times New Roman" w:hAnsi="Times New Roman" w:eastAsia="方正小标宋简体" w:cs="Times New Roman"/>
          <w:color w:val="000000"/>
          <w:sz w:val="44"/>
          <w:szCs w:val="44"/>
          <w:lang w:val="en-US" w:eastAsia="zh-CN"/>
        </w:rPr>
        <w:t>农民养老保障方案</w:t>
      </w:r>
    </w:p>
    <w:p>
      <w:pPr>
        <w:rPr>
          <w:rFonts w:hint="default" w:ascii="Times New Roman" w:hAnsi="Times New Roman" w:eastAsia="仿宋_GB2312" w:cs="Times New Roman"/>
          <w:kern w:val="0"/>
          <w:szCs w:val="32"/>
        </w:rPr>
      </w:pPr>
    </w:p>
    <w:p>
      <w:pPr>
        <w:ind w:firstLine="640" w:firstLineChars="200"/>
        <w:jc w:val="left"/>
        <w:rPr>
          <w:rFonts w:ascii="Times New Roman" w:hAnsi="Times New Roman" w:eastAsia="仿宋_GB2312" w:cs="Times New Roman"/>
          <w:sz w:val="32"/>
          <w:szCs w:val="32"/>
          <w:u w:val="single"/>
        </w:rPr>
      </w:pPr>
      <w:r>
        <w:rPr>
          <w:rFonts w:hint="eastAsia" w:ascii="仿宋_GB2312" w:hAnsi="Times New Roman" w:eastAsia="仿宋_GB2312" w:cs="Times New Roman"/>
          <w:color w:val="000000"/>
          <w:kern w:val="0"/>
          <w:sz w:val="32"/>
          <w:szCs w:val="32"/>
          <w:shd w:val="clear" w:color="auto" w:fill="FFFFFF"/>
          <w:lang w:bidi="ar"/>
        </w:rPr>
        <w:t>依照</w:t>
      </w:r>
      <w:r>
        <w:rPr>
          <w:rFonts w:hint="eastAsia" w:ascii="仿宋_GB2312" w:hAnsi="Times New Roman" w:eastAsia="仿宋_GB2312" w:cs="Times New Roman"/>
          <w:sz w:val="32"/>
          <w:szCs w:val="32"/>
        </w:rPr>
        <w:t>《中华人民共和国土地管理法》、</w:t>
      </w:r>
      <w:r>
        <w:rPr>
          <w:rFonts w:hint="eastAsia" w:ascii="仿宋_GB2312" w:hAnsi="Times New Roman" w:eastAsia="仿宋_GB2312" w:cs="Times New Roman"/>
          <w:kern w:val="0"/>
          <w:sz w:val="32"/>
          <w:szCs w:val="32"/>
          <w:shd w:val="clear" w:color="auto" w:fill="FFFFFF"/>
          <w:lang w:bidi="ar"/>
        </w:rPr>
        <w:t>《关于切实做好被征地农民社会保障工作有关问题的通知》</w:t>
      </w:r>
      <w:r>
        <w:rPr>
          <w:rFonts w:ascii="Times New Roman" w:hAnsi="Times New Roman" w:eastAsia="仿宋_GB2312" w:cs="Times New Roman"/>
          <w:kern w:val="0"/>
          <w:sz w:val="32"/>
          <w:szCs w:val="32"/>
          <w:shd w:val="clear" w:color="auto" w:fill="FFFFFF"/>
          <w:lang w:bidi="ar"/>
        </w:rPr>
        <w:t>（</w:t>
      </w:r>
      <w:r>
        <w:rPr>
          <w:rFonts w:ascii="Times New Roman" w:hAnsi="Times New Roman" w:eastAsia="仿宋_GB2312" w:cs="Times New Roman"/>
          <w:color w:val="000000"/>
          <w:kern w:val="0"/>
          <w:sz w:val="32"/>
          <w:szCs w:val="32"/>
          <w:shd w:val="clear" w:color="auto" w:fill="FFFFFF"/>
          <w:lang w:bidi="ar"/>
        </w:rPr>
        <w:t>劳社部发〔2007〕14号，下称劳社部发〔2007〕14号）</w:t>
      </w:r>
      <w:r>
        <w:rPr>
          <w:rFonts w:hint="eastAsia" w:ascii="Times New Roman" w:hAnsi="Times New Roman" w:eastAsia="仿宋_GB2312" w:cs="Times New Roman"/>
          <w:color w:val="000000"/>
          <w:kern w:val="0"/>
          <w:sz w:val="32"/>
          <w:szCs w:val="32"/>
          <w:shd w:val="clear" w:color="auto" w:fill="FFFFFF"/>
          <w:lang w:bidi="ar"/>
        </w:rPr>
        <w:t>、</w:t>
      </w:r>
      <w:r>
        <w:rPr>
          <w:rFonts w:ascii="Times New Roman" w:hAnsi="Times New Roman" w:eastAsia="仿宋_GB2312" w:cs="Times New Roman"/>
          <w:color w:val="000000"/>
          <w:kern w:val="0"/>
          <w:sz w:val="32"/>
          <w:szCs w:val="32"/>
          <w:shd w:val="clear" w:color="auto" w:fill="FFFFFF"/>
          <w:lang w:bidi="ar"/>
        </w:rPr>
        <w:t>《广东省人民政府办公厅转发省人力资源社会保障厅关于进一步完善我省被征地农民养老保障工作意见的通知》（粤府办〔2021〕22号）</w:t>
      </w:r>
      <w:r>
        <w:rPr>
          <w:rFonts w:hint="eastAsia" w:ascii="Times New Roman" w:hAnsi="Times New Roman" w:eastAsia="仿宋_GB2312" w:cs="Times New Roman"/>
          <w:color w:val="000000"/>
          <w:kern w:val="0"/>
          <w:sz w:val="32"/>
          <w:szCs w:val="32"/>
          <w:shd w:val="clear" w:color="auto" w:fill="FFFFFF"/>
          <w:lang w:bidi="ar"/>
        </w:rPr>
        <w:t>第八条、《广州市人民政府办公厅关于印发广州市城乡居民养老保险实施办法的通知》</w:t>
      </w:r>
      <w:r>
        <w:rPr>
          <w:rFonts w:ascii="Times New Roman" w:hAnsi="Times New Roman" w:eastAsia="仿宋_GB2312" w:cs="Times New Roman"/>
          <w:color w:val="000000"/>
          <w:kern w:val="0"/>
          <w:sz w:val="32"/>
          <w:szCs w:val="32"/>
          <w:shd w:val="clear" w:color="auto" w:fill="FFFFFF"/>
          <w:lang w:bidi="ar"/>
        </w:rPr>
        <w:t>（</w:t>
      </w:r>
      <w:r>
        <w:rPr>
          <w:rFonts w:hint="eastAsia" w:ascii="Times New Roman" w:hAnsi="Times New Roman" w:eastAsia="仿宋_GB2312" w:cs="Times New Roman"/>
          <w:color w:val="000000"/>
          <w:kern w:val="0"/>
          <w:sz w:val="32"/>
          <w:szCs w:val="32"/>
          <w:shd w:val="clear" w:color="auto" w:fill="FFFFFF"/>
          <w:lang w:bidi="ar"/>
        </w:rPr>
        <w:t>穗</w:t>
      </w:r>
      <w:r>
        <w:rPr>
          <w:rFonts w:ascii="Times New Roman" w:hAnsi="Times New Roman" w:eastAsia="仿宋_GB2312" w:cs="Times New Roman"/>
          <w:color w:val="000000"/>
          <w:kern w:val="0"/>
          <w:sz w:val="32"/>
          <w:szCs w:val="32"/>
          <w:shd w:val="clear" w:color="auto" w:fill="FFFFFF"/>
          <w:lang w:bidi="ar"/>
        </w:rPr>
        <w:t>府办</w:t>
      </w:r>
      <w:r>
        <w:rPr>
          <w:rFonts w:hint="eastAsia" w:ascii="Times New Roman" w:hAnsi="Times New Roman" w:eastAsia="仿宋_GB2312" w:cs="Times New Roman"/>
          <w:color w:val="000000"/>
          <w:kern w:val="0"/>
          <w:sz w:val="32"/>
          <w:szCs w:val="32"/>
          <w:shd w:val="clear" w:color="auto" w:fill="FFFFFF"/>
          <w:lang w:bidi="ar"/>
        </w:rPr>
        <w:t>规</w:t>
      </w:r>
      <w:r>
        <w:rPr>
          <w:rFonts w:ascii="Times New Roman" w:hAnsi="Times New Roman" w:eastAsia="仿宋_GB2312" w:cs="Times New Roman"/>
          <w:color w:val="000000"/>
          <w:kern w:val="0"/>
          <w:sz w:val="32"/>
          <w:szCs w:val="32"/>
          <w:shd w:val="clear" w:color="auto" w:fill="FFFFFF"/>
          <w:lang w:bidi="ar"/>
        </w:rPr>
        <w:t>〔2021〕</w:t>
      </w:r>
      <w:r>
        <w:rPr>
          <w:rFonts w:hint="eastAsia" w:ascii="Times New Roman" w:hAnsi="Times New Roman" w:eastAsia="仿宋_GB2312" w:cs="Times New Roman"/>
          <w:color w:val="000000"/>
          <w:kern w:val="0"/>
          <w:sz w:val="32"/>
          <w:szCs w:val="32"/>
          <w:shd w:val="clear" w:color="auto" w:fill="FFFFFF"/>
          <w:lang w:bidi="ar"/>
        </w:rPr>
        <w:t>8</w:t>
      </w:r>
      <w:r>
        <w:rPr>
          <w:rFonts w:ascii="Times New Roman" w:hAnsi="Times New Roman" w:eastAsia="仿宋_GB2312" w:cs="Times New Roman"/>
          <w:color w:val="000000"/>
          <w:kern w:val="0"/>
          <w:sz w:val="32"/>
          <w:szCs w:val="32"/>
          <w:shd w:val="clear" w:color="auto" w:fill="FFFFFF"/>
          <w:lang w:bidi="ar"/>
        </w:rPr>
        <w:t>号）</w:t>
      </w:r>
      <w:r>
        <w:rPr>
          <w:rFonts w:hint="eastAsia" w:ascii="Times New Roman" w:hAnsi="Times New Roman" w:eastAsia="仿宋_GB2312" w:cs="Times New Roman"/>
          <w:color w:val="000000"/>
          <w:kern w:val="0"/>
          <w:sz w:val="32"/>
          <w:szCs w:val="32"/>
          <w:shd w:val="clear" w:color="auto" w:fill="FFFFFF"/>
          <w:lang w:bidi="ar"/>
        </w:rPr>
        <w:t>第九条</w:t>
      </w:r>
      <w:r>
        <w:rPr>
          <w:rFonts w:ascii="Times New Roman" w:hAnsi="Times New Roman" w:eastAsia="仿宋_GB2312" w:cs="Times New Roman"/>
          <w:color w:val="000000"/>
          <w:kern w:val="0"/>
          <w:sz w:val="32"/>
          <w:szCs w:val="32"/>
          <w:shd w:val="clear" w:color="auto" w:fill="FFFFFF"/>
          <w:lang w:bidi="ar"/>
        </w:rPr>
        <w:t>等有关规定</w:t>
      </w:r>
      <w:r>
        <w:rPr>
          <w:rFonts w:ascii="Times New Roman" w:hAnsi="Times New Roman" w:eastAsia="仿宋_GB2312" w:cs="Times New Roman"/>
          <w:kern w:val="0"/>
          <w:sz w:val="32"/>
          <w:szCs w:val="32"/>
        </w:rPr>
        <w:t>，拟定</w:t>
      </w:r>
      <w:r>
        <w:rPr>
          <w:rFonts w:ascii="Times New Roman" w:hAnsi="Times New Roman" w:eastAsia="仿宋_GB2312" w:cs="Times New Roman"/>
          <w:sz w:val="32"/>
          <w:szCs w:val="32"/>
        </w:rPr>
        <w:t>广州市黄埔区（中新广州知识城）</w:t>
      </w:r>
      <w:r>
        <w:rPr>
          <w:rFonts w:hint="eastAsia" w:ascii="Times New Roman" w:hAnsi="Times New Roman" w:eastAsia="仿宋_GB2312" w:cs="Times New Roman"/>
          <w:sz w:val="32"/>
          <w:szCs w:val="32"/>
          <w:lang w:eastAsia="zh-CN"/>
        </w:rPr>
        <w:t>2023年度第</w:t>
      </w:r>
      <w:r>
        <w:rPr>
          <w:rFonts w:hint="eastAsia" w:ascii="Times New Roman" w:hAnsi="Times New Roman" w:eastAsia="仿宋_GB2312" w:cs="Times New Roman"/>
          <w:sz w:val="32"/>
          <w:szCs w:val="32"/>
          <w:lang w:val="en-US" w:eastAsia="zh-CN"/>
        </w:rPr>
        <w:t>五</w:t>
      </w:r>
      <w:r>
        <w:rPr>
          <w:rFonts w:hint="eastAsia" w:ascii="Times New Roman" w:hAnsi="Times New Roman" w:eastAsia="仿宋_GB2312" w:cs="Times New Roman"/>
          <w:sz w:val="32"/>
          <w:szCs w:val="32"/>
          <w:lang w:eastAsia="zh-CN"/>
        </w:rPr>
        <w:t>批次</w:t>
      </w:r>
      <w:r>
        <w:rPr>
          <w:rFonts w:ascii="Times New Roman" w:hAnsi="Times New Roman" w:eastAsia="仿宋_GB2312" w:cs="Times New Roman"/>
          <w:sz w:val="32"/>
          <w:szCs w:val="32"/>
        </w:rPr>
        <w:t>城镇建设用地被征地农民养老</w:t>
      </w:r>
      <w:r>
        <w:rPr>
          <w:rFonts w:ascii="Times New Roman" w:hAnsi="Times New Roman" w:eastAsia="仿宋_GB2312" w:cs="Times New Roman"/>
          <w:kern w:val="0"/>
          <w:sz w:val="32"/>
          <w:szCs w:val="32"/>
        </w:rPr>
        <w:t>保障</w:t>
      </w:r>
      <w:r>
        <w:rPr>
          <w:rFonts w:ascii="Times New Roman" w:hAnsi="Times New Roman" w:eastAsia="仿宋_GB2312" w:cs="Times New Roman"/>
          <w:sz w:val="32"/>
          <w:szCs w:val="32"/>
        </w:rPr>
        <w:t>方案</w:t>
      </w:r>
      <w:r>
        <w:rPr>
          <w:rFonts w:ascii="Times New Roman" w:hAnsi="Times New Roman" w:eastAsia="仿宋_GB2312" w:cs="Times New Roman"/>
          <w:kern w:val="0"/>
          <w:sz w:val="32"/>
          <w:szCs w:val="32"/>
        </w:rPr>
        <w:t>如下：</w:t>
      </w:r>
    </w:p>
    <w:p>
      <w:pPr>
        <w:rPr>
          <w:rFonts w:hint="default" w:ascii="Times New Roman" w:hAnsi="Times New Roman" w:eastAsia="仿宋_GB2312" w:cs="Times New Roman"/>
          <w:sz w:val="32"/>
          <w:szCs w:val="32"/>
          <w:lang w:val="en-US" w:eastAsia="zh-CN"/>
        </w:rPr>
      </w:pPr>
      <w:r>
        <w:rPr>
          <w:rFonts w:hint="eastAsia" w:ascii="Times New Roman" w:hAnsi="Times New Roman" w:eastAsia="΢ȭхڢ; line-height:23px;"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该用地项目征收广州市黄埔区龙湖街何棠下村经济联合社、光明经济合作社和新兴经济合作社土地面积24.0735亩。全部属于被征地单位留用地。按照粤府办</w:t>
      </w:r>
      <w:r>
        <w:rPr>
          <w:rFonts w:ascii="Times New Roman" w:hAnsi="Times New Roman" w:eastAsia="仿宋_GB2312" w:cs="Times New Roman"/>
          <w:color w:val="000000"/>
          <w:kern w:val="0"/>
          <w:sz w:val="32"/>
          <w:szCs w:val="32"/>
          <w:shd w:val="clear" w:color="auto" w:fill="FFFFFF"/>
          <w:lang w:bidi="ar"/>
        </w:rPr>
        <w:t>〔2021〕</w:t>
      </w:r>
      <w:r>
        <w:rPr>
          <w:rFonts w:hint="eastAsia" w:ascii="Times New Roman" w:hAnsi="Times New Roman" w:eastAsia="仿宋_GB2312" w:cs="Times New Roman"/>
          <w:color w:val="000000"/>
          <w:kern w:val="0"/>
          <w:sz w:val="32"/>
          <w:szCs w:val="32"/>
          <w:shd w:val="clear" w:color="auto" w:fill="FFFFFF"/>
          <w:lang w:val="en-US" w:eastAsia="zh-CN" w:bidi="ar"/>
        </w:rPr>
        <w:t>22号文规定，不计提养老保障资金。</w:t>
      </w:r>
    </w:p>
    <w:p>
      <w:pPr>
        <w:ind w:firstLine="640" w:firstLineChars="200"/>
        <w:jc w:val="right"/>
        <w:rPr>
          <w:rFonts w:hint="default" w:ascii="Times New Roman" w:hAnsi="Times New Roman" w:eastAsia="仿宋_GB2312" w:cs="Times New Roman"/>
          <w:sz w:val="32"/>
          <w:szCs w:val="32"/>
        </w:rPr>
      </w:pPr>
      <w:bookmarkStart w:id="0" w:name="_GoBack"/>
      <w:bookmarkEnd w:id="0"/>
    </w:p>
    <w:p>
      <w:pPr>
        <w:ind w:firstLine="640" w:firstLineChars="2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广州市黄埔区人力资源和社会保障局</w:t>
      </w:r>
    </w:p>
    <w:p>
      <w:pPr>
        <w:ind w:firstLine="640" w:firstLineChars="200"/>
        <w:jc w:val="center"/>
        <w:rPr>
          <w:rFonts w:hint="default" w:ascii="Times New Roman" w:hAnsi="Times New Roman" w:eastAsia="黑体" w:cs="Times New Roman"/>
          <w:sz w:val="32"/>
          <w:szCs w:val="32"/>
          <w:shd w:val="clear" w:color="auto" w:fill="FFFFFF"/>
          <w:lang w:val="en-US" w:eastAsia="zh-CN"/>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30日</w:t>
      </w:r>
    </w:p>
    <w:p/>
    <w:sectPr>
      <w:pgSz w:w="11906" w:h="16838"/>
      <w:pgMar w:top="1417" w:right="1474"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ȭхڢ; line-height:23px;">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NDc5MjJjMmYxYTg0ZDc1OWNiNDVhMDQxZTE5YmYifQ=="/>
  </w:docVars>
  <w:rsids>
    <w:rsidRoot w:val="6AFA33E2"/>
    <w:rsid w:val="53AE3D70"/>
    <w:rsid w:val="6AFA33E2"/>
    <w:rsid w:val="7A8A4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2024-01-09T07:56:00Z</dcterms:created>
  <dc:creator>pc</dc:creator>
  <cp:lastModifiedBy>剑锋</cp:lastModifiedBy>
  <dcterms:modified xsi:type="dcterms:W3CDTF">2024-03-11T06:55:08Z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BCB8EA0EB6FC4885B039139B4D5B99C4</vt:lpwstr>
  </property>
</Properties>
</file>