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0" w:lineRule="exact"/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ab/>
      </w:r>
    </w:p>
    <w:p>
      <w:pPr>
        <w:autoSpaceDE/>
        <w:autoSpaceDN/>
        <w:spacing w:before="0" w:after="0" w:line="580" w:lineRule="exact"/>
        <w:ind w:right="0"/>
        <w:jc w:val="righ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粤府土审（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）〔202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33号</w:t>
      </w:r>
    </w:p>
    <w:p>
      <w:pPr>
        <w:pStyle w:val="3"/>
        <w:spacing w:before="6"/>
        <w:rPr>
          <w:sz w:val="52"/>
        </w:rPr>
      </w:pPr>
    </w:p>
    <w:p>
      <w:pPr>
        <w:autoSpaceDE/>
        <w:autoSpaceDN/>
        <w:spacing w:before="0" w:after="0" w:line="580" w:lineRule="exact"/>
        <w:ind w:left="0" w:right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eastAsia="zh-CN"/>
        </w:rPr>
        <w:t>广东省人民政府关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于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eastAsia="zh-CN"/>
        </w:rPr>
        <w:t>广州市花都区2022年度</w:t>
      </w:r>
    </w:p>
    <w:p>
      <w:pPr>
        <w:autoSpaceDE/>
        <w:autoSpaceDN/>
        <w:spacing w:before="0" w:after="0" w:line="580" w:lineRule="exact"/>
        <w:ind w:left="0" w:right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/>
        </w:rPr>
        <w:t>三十七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eastAsia="zh-CN"/>
        </w:rPr>
        <w:t>批次城镇建设用地的批复</w:t>
      </w:r>
    </w:p>
    <w:p>
      <w:pPr>
        <w:autoSpaceDE/>
        <w:autoSpaceDN/>
        <w:spacing w:before="0" w:after="0" w:line="560" w:lineRule="exact"/>
        <w:ind w:left="0" w:right="0"/>
        <w:jc w:val="center"/>
        <w:rPr>
          <w:rFonts w:ascii="Times New Roman" w:hAnsi="Times New Roman" w:eastAsia="仿宋_GB2312" w:cs="Times New Roman"/>
          <w:kern w:val="2"/>
          <w:sz w:val="44"/>
          <w:szCs w:val="44"/>
          <w:lang w:eastAsia="zh-CN" w:bidi="ar"/>
        </w:rPr>
      </w:pPr>
    </w:p>
    <w:p>
      <w:pPr>
        <w:autoSpaceDE/>
        <w:autoSpaceDN/>
        <w:spacing w:before="0" w:after="0" w:line="560" w:lineRule="exact"/>
        <w:ind w:left="0" w:right="0"/>
        <w:jc w:val="center"/>
        <w:rPr>
          <w:rFonts w:ascii="Times New Roman" w:hAnsi="Times New Roman" w:eastAsia="仿宋_GB2312" w:cs="Times New Roman"/>
          <w:kern w:val="2"/>
          <w:sz w:val="44"/>
          <w:szCs w:val="44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广州市人民政府：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-220" w:rightChars="-10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《广州市规划和自然资源局关于审批广州市花都区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2022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年度第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三十七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批次城镇建设用地的请示》（穗规划资源（用地）报〔202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83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号）、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《广州市花都区人民政府关于申请广州市花都区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2022年度第三十七批次城镇建设用地土地征收的请示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（花府字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）及相关材料已通过审核。根据《中华人民共和国土地管理法》第四十四、四十五、四十六条的有关规定，批复如下：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right="-220" w:rightChars="-10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一、同意使用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1.2795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公顷城镇建设用地，即同意你市将花都区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狮岭镇军田军一、军二、军三、军四、军五、万一、万二、下屋经济合作社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属下的集体农用地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1.2158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公顷（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不涉及耕地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）转为建设用地，同时使用上述有关村集体建设用地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0.0637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公顷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以上合计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1.2795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公顷集体土地一并办理征地手续。上述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批准建设用地1.2795公顷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由当地人民政府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依法依规供应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-220" w:rightChars="-10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二、请你市人民政府负责落实补充耕地。督促补充耕地责任单位认真落实耕地占补平衡，补充数量相等、质量相当的耕地，对应核销耕地数量、水田规模和标准粮食产能指标（确认信息编号：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440000202304109107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），落实建设占用耕地耕作层土壤剥离利用。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right="-220" w:rightChars="-10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三、请你市人民政府按照《中华人民共和国土地管理法》有关规定，严格履行征地批后实施程序，及时足额支付补偿费用， 安排被征地农民的社会保障费用，落实安置措施，妥善解决好被 征地农民的生产和生活，保证原有生活水平不降低，长远生计有 保障。征地补偿安置不落实的，不得动工用地。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你市相关不动产登记机构以此办理集体土地所有权注销或变更登记。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-220" w:rightChars="-10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四、使用土地涉及的耕地占用税等有关税费的收缴或调整， 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-220" w:rightChars="-10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五、征地批后实施情况和具体项目供地情况须按规定报备。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right="0"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6078" w:leftChars="290" w:right="-220" w:rightChars="-100" w:hanging="5440" w:hangingChars="17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                                                                      广东省人民政府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right="-220" w:rightChars="-100" w:firstLine="6080" w:firstLineChars="19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2024年3月11日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公开方式：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-220" w:leftChars="-100" w:right="-330" w:rightChars="-15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>抄送：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国家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>自然资源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监督广州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>局，财政部广东监管局，省财政厅、省人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-220" w:leftChars="-100" w:right="-330" w:rightChars="-15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>力资源和社会保障厅、省自然资源厅、省农业农村厅、国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家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>税务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-220" w:leftChars="-100" w:right="-330" w:rightChars="-15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/>
        </w:rPr>
        <w:t>总局广东省税务局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MzI4MzFiZDAxOGFkOGI5M2M5NzcxNmY1YjQyOTkifQ=="/>
  </w:docVars>
  <w:rsids>
    <w:rsidRoot w:val="00000000"/>
    <w:rsid w:val="02FF587F"/>
    <w:rsid w:val="2D1617B2"/>
    <w:rsid w:val="39EF3970"/>
    <w:rsid w:val="5932754F"/>
    <w:rsid w:val="657E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2024-03-27T09:55:00Z</dcterms:created>
  <dc:creator>Administrator</dc:creator>
  <cp:lastModifiedBy>minjin</cp:lastModifiedBy>
  <dcterms:modified xsi:type="dcterms:W3CDTF">2024-03-27T10:01:09Z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1B609037FBFC4A77A09180DFDEDDF38B_12</vt:lpwstr>
  </property>
</Properties>
</file>