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</w:rPr>
        <w:t>附件3</w:t>
      </w:r>
    </w:p>
    <w:p>
      <w:pPr>
        <w:jc w:val="center"/>
        <w:rPr>
          <w:rFonts w:ascii="Times New Roman" w:hAnsi="Times New Roman" w:eastAsia="黑体"/>
          <w:b/>
          <w:bCs/>
          <w:sz w:val="30"/>
          <w:szCs w:val="30"/>
        </w:rPr>
      </w:pPr>
      <w:r>
        <w:rPr>
          <w:rFonts w:ascii="Times New Roman" w:hAnsi="Times New Roman" w:eastAsia="黑体"/>
          <w:b/>
          <w:bCs/>
          <w:sz w:val="30"/>
          <w:szCs w:val="30"/>
        </w:rPr>
        <w:t>“社区事·街坊做”南沙区万顷沙十四涌红港村渔家小院模块化设计方案竞赛任务书</w:t>
      </w:r>
    </w:p>
    <w:p>
      <w:pPr>
        <w:pStyle w:val="3"/>
        <w:spacing w:line="240" w:lineRule="auto"/>
        <w:ind w:firstLine="562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项目背景</w:t>
      </w:r>
    </w:p>
    <w:p>
      <w:pPr>
        <w:pStyle w:val="4"/>
        <w:spacing w:line="460" w:lineRule="exact"/>
        <w:ind w:firstLine="560"/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2"/>
          <w:sz w:val="28"/>
          <w:szCs w:val="24"/>
          <w:shd w:val="clear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2"/>
          <w:sz w:val="28"/>
          <w:szCs w:val="24"/>
          <w:shd w:val="clear"/>
          <w:lang w:val="en-US" w:eastAsia="zh-CN" w:bidi="ar"/>
        </w:rPr>
        <w:t>为落实《中共广东省委关于实施“百县千镇万村高质量发展工程”促进城乡区域协调发展的决定》的工作要求，推动县域高质量发展、强化乡镇联城带村的节点功能、建设宜居宜业和美乡村，万顷沙镇高质量推进“渔舟唱晚”新乡村示范带建设，全力创建万顷沙镇十四涌红港村岭南特色美丽乡村精品示范村。</w:t>
      </w:r>
    </w:p>
    <w:p>
      <w:pPr>
        <w:pStyle w:val="4"/>
        <w:spacing w:line="460" w:lineRule="exact"/>
        <w:ind w:firstLine="560"/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2"/>
          <w:sz w:val="28"/>
          <w:szCs w:val="24"/>
          <w:shd w:val="clear"/>
          <w:lang w:val="en-US" w:eastAsia="zh-CN" w:bidi="ar"/>
        </w:rPr>
        <w:t>万顷沙镇红港村位于万顷沙镇西南部，紧靠洪奇沥水道，十四涌以北，村落依涌而建，村民大多以捕鱼为生。为进一步解决河道行洪问题、保障行洪安全、切实消除安全隐患，现拟对万顷沙十四涌两岸空间整治工作。渔家小院，作为万顷沙十四涌两岸独具特色的水乡景观，特指渔村村民结合生活需求，沿河涌两岸自发形成的亲水空间，多以雨棚、平台、下水步梯、码头等元素构成。本次设计竞赛拟通过对红港村两岸村居渔家小院的提升改造，结合地域特色和实际需求，针对渔村滨水空间特色元素开展模块化设计，提升乡村风貌，以微显著整治人居环境，切实优化村民的居住生活空间和村庄风貌，提升环境品质，助力新乡村示范带建设</w:t>
      </w:r>
      <w:r>
        <w:rPr>
          <w:rFonts w:ascii="Times New Roman" w:hAnsi="Times New Roman"/>
        </w:rPr>
        <w:t>。</w:t>
      </w:r>
    </w:p>
    <w:p>
      <w:pPr>
        <w:pStyle w:val="3"/>
        <w:spacing w:line="240" w:lineRule="auto"/>
        <w:ind w:firstLine="562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设计内容</w:t>
      </w:r>
    </w:p>
    <w:p>
      <w:pPr>
        <w:pStyle w:val="5"/>
        <w:spacing w:line="240" w:lineRule="auto"/>
        <w:ind w:firstLine="562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设计范围</w:t>
      </w:r>
    </w:p>
    <w:p>
      <w:pPr>
        <w:pStyle w:val="4"/>
        <w:spacing w:line="460" w:lineRule="exact"/>
        <w:ind w:firstLine="560"/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>万顷沙镇红港村村落沿十四涌两岸景观带全长约700m，村落面积约39公顷。</w:t>
      </w:r>
      <w:r>
        <w:rPr>
          <w:rFonts w:hint="eastAsia" w:ascii="Times New Roman" w:hAnsi="Times New Roman"/>
          <w:lang w:eastAsia="zh-CN"/>
        </w:rPr>
        <w:t>涉及</w:t>
      </w:r>
      <w:r>
        <w:rPr>
          <w:rFonts w:ascii="Times New Roman" w:hAnsi="Times New Roman"/>
        </w:rPr>
        <w:t>渔家小院</w:t>
      </w:r>
      <w:r>
        <w:rPr>
          <w:rFonts w:hint="eastAsia" w:ascii="Times New Roman" w:hAnsi="Times New Roman"/>
          <w:lang w:eastAsia="zh-CN"/>
        </w:rPr>
        <w:t>滨水区域</w:t>
      </w:r>
      <w:r>
        <w:rPr>
          <w:rFonts w:ascii="Times New Roman" w:hAnsi="Times New Roman"/>
        </w:rPr>
        <w:t>占地面积约8050平方米，以</w:t>
      </w:r>
      <w:r>
        <w:rPr>
          <w:rStyle w:val="8"/>
          <w:rFonts w:ascii="Times New Roman" w:hAnsi="Times New Roman"/>
          <w:color w:val="auto"/>
          <w:u w:val="none"/>
        </w:rPr>
        <w:t>雨棚、围栏、花园、码头及停船杆等特色元素构成</w:t>
      </w:r>
      <w:r>
        <w:rPr>
          <w:rFonts w:ascii="Times New Roman" w:hAnsi="Times New Roman"/>
        </w:rPr>
        <w:t>。</w:t>
      </w:r>
      <w:r>
        <w:rPr>
          <w:rFonts w:hint="eastAsia" w:ascii="Times New Roman" w:hAnsi="Times New Roman"/>
        </w:rPr>
        <w:t>（红港村全景图：</w:t>
      </w:r>
      <w:r>
        <w:rPr>
          <w:rFonts w:ascii="Times New Roman" w:hAnsi="Times New Roman"/>
        </w:rPr>
        <w:t>https://www.720yun.com/vr/3e2jO7wmOw2</w:t>
      </w:r>
      <w:r>
        <w:rPr>
          <w:rFonts w:hint="eastAsia" w:ascii="Times New Roman" w:hAnsi="Times New Roman"/>
        </w:rPr>
        <w:t>）</w:t>
      </w:r>
    </w:p>
    <w:p>
      <w:pPr>
        <w:pStyle w:val="4"/>
        <w:ind w:firstLine="0" w:firstLineChars="0"/>
      </w:pPr>
    </w:p>
    <w:p>
      <w:pPr>
        <w:pStyle w:val="4"/>
        <w:ind w:firstLine="0" w:firstLineChars="0"/>
      </w:pPr>
      <w:r>
        <w:drawing>
          <wp:inline distT="0" distB="0" distL="0" distR="0">
            <wp:extent cx="5098415" cy="2515235"/>
            <wp:effectExtent l="0" t="0" r="6985" b="18415"/>
            <wp:docPr id="154692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244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6212" t="11596" r="5947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5117712" cy="25251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2452370" cy="2087880"/>
            <wp:effectExtent l="0" t="0" r="5080" b="7620"/>
            <wp:docPr id="1918377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7726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3692" b="4336"/>
                    <a:stretch>
                      <a:fillRect/>
                    </a:stretch>
                  </pic:blipFill>
                  <pic:spPr>
                    <a:xfrm>
                      <a:off x="0" y="0"/>
                      <a:ext cx="2468757" cy="21013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图1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标准化渔家小院模块单元</w:t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5230495" cy="292163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/>
          <w:sz w:val="24"/>
        </w:rPr>
        <w:t>图</w:t>
      </w:r>
      <w:r>
        <w:rPr>
          <w:rFonts w:hint="eastAsia" w:ascii="Times New Roman" w:hAnsi="Times New Roman"/>
          <w:sz w:val="24"/>
          <w:lang w:val="en-US" w:eastAsia="zh-CN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渔家小院</w:t>
      </w:r>
      <w:r>
        <w:rPr>
          <w:rFonts w:hint="eastAsia" w:ascii="Times New Roman" w:hAnsi="Times New Roman"/>
          <w:sz w:val="24"/>
          <w:lang w:eastAsia="zh-CN"/>
        </w:rPr>
        <w:t>示意模型</w:t>
      </w:r>
    </w:p>
    <w:p>
      <w:pPr>
        <w:pStyle w:val="4"/>
        <w:spacing w:line="240" w:lineRule="auto"/>
        <w:ind w:firstLine="0" w:firstLineChars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>
            <wp:extent cx="5273040" cy="3649980"/>
            <wp:effectExtent l="0" t="0" r="3810" b="7620"/>
            <wp:docPr id="5869928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92824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图</w:t>
      </w:r>
      <w:r>
        <w:rPr>
          <w:rFonts w:hint="eastAsia" w:ascii="Times New Roman" w:hAnsi="Times New Roman"/>
          <w:sz w:val="24"/>
          <w:lang w:val="en-US" w:eastAsia="zh-CN"/>
        </w:rPr>
        <w:t>3</w:t>
      </w:r>
      <w:r>
        <w:rPr>
          <w:rFonts w:ascii="Times New Roman" w:hAnsi="Times New Roman"/>
          <w:sz w:val="24"/>
        </w:rPr>
        <w:t xml:space="preserve"> 万顷沙镇红港村设计范围</w:t>
      </w:r>
    </w:p>
    <w:p>
      <w:pPr>
        <w:pStyle w:val="2"/>
        <w:spacing w:after="0"/>
        <w:rPr>
          <w:rFonts w:ascii="Times New Roman" w:hAnsi="Times New Roman"/>
        </w:rPr>
      </w:pPr>
    </w:p>
    <w:p>
      <w:pPr>
        <w:pStyle w:val="4"/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2217420"/>
            <wp:effectExtent l="0" t="0" r="2540" b="0"/>
            <wp:docPr id="733102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025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5924" b="93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2369820"/>
            <wp:effectExtent l="0" t="0" r="2540" b="0"/>
            <wp:docPr id="145560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067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141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图</w:t>
      </w:r>
      <w:r>
        <w:rPr>
          <w:rFonts w:hint="eastAsia" w:ascii="Times New Roman" w:hAnsi="Times New Roman"/>
          <w:sz w:val="24"/>
          <w:lang w:val="en-US" w:eastAsia="zh-CN"/>
        </w:rPr>
        <w:t>4</w:t>
      </w:r>
      <w:r>
        <w:rPr>
          <w:rFonts w:ascii="Times New Roman" w:hAnsi="Times New Roman"/>
          <w:sz w:val="24"/>
        </w:rPr>
        <w:t xml:space="preserve"> 万顷沙镇红港村渔家小院现状实景照片</w:t>
      </w:r>
    </w:p>
    <w:p>
      <w:pPr>
        <w:pStyle w:val="5"/>
        <w:spacing w:line="240" w:lineRule="auto"/>
        <w:ind w:firstLine="562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设计要求</w:t>
      </w:r>
    </w:p>
    <w:p>
      <w:pPr>
        <w:pStyle w:val="4"/>
        <w:spacing w:line="460" w:lineRule="exact"/>
        <w:ind w:firstLine="560"/>
        <w:rPr>
          <w:rFonts w:hint="default" w:ascii="Times New Roman" w:hAnsi="Times New Roman" w:eastAsia="宋体" w:cs="Times New Roman"/>
          <w:sz w:val="28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8"/>
          <w:szCs w:val="24"/>
          <w:u w:val="none"/>
        </w:rPr>
        <w:t>方案需以渔家小院为单元，充分思考渔家小院与村民住宅、河涌的关系，基于雨棚、围栏、下水步梯、花园、码头及停船杆等渔家小院特色构成元素，从材料、色彩、样式、尺寸等角度开展原型化、标准化、模块化设计，相关构筑物应可持续、长久应对多种使用功能，在具有简便的材料工艺和施工工法的同时、又兼具永久建筑使用和体检品质。方案应至少体现但不限于对以下4项元素的设计思考：</w:t>
      </w:r>
    </w:p>
    <w:p>
      <w:pPr>
        <w:pStyle w:val="4"/>
        <w:spacing w:line="460" w:lineRule="exact"/>
        <w:ind w:firstLine="560"/>
        <w:rPr>
          <w:rFonts w:hint="default" w:ascii="Times New Roman" w:hAnsi="Times New Roman"/>
          <w:u w:val="none"/>
        </w:rPr>
      </w:pPr>
      <w:r>
        <w:rPr>
          <w:rFonts w:hint="default" w:ascii="Times New Roman" w:hAnsi="Times New Roman"/>
          <w:u w:val="none"/>
        </w:rPr>
        <w:t>1.露台雨棚：从材料、构造等角度考虑，充分思考平台、雨棚等装置与现有房屋的关系，对现有设施进行改造，在保障行洪、适应当地气候的前提下，满足当地居民多样的生产生活需求；</w:t>
      </w:r>
    </w:p>
    <w:p>
      <w:pPr>
        <w:pStyle w:val="4"/>
        <w:spacing w:line="460" w:lineRule="exact"/>
        <w:ind w:firstLine="560"/>
        <w:rPr>
          <w:rFonts w:hint="default" w:ascii="Times New Roman" w:hAnsi="Times New Roman"/>
          <w:u w:val="none"/>
        </w:rPr>
      </w:pPr>
      <w:r>
        <w:rPr>
          <w:rFonts w:hint="default" w:ascii="Times New Roman" w:hAnsi="Times New Roman"/>
          <w:u w:val="none"/>
        </w:rPr>
        <w:t>2.露台栏杆：体现在地的乡村风貌，兼顾实用性与美观性；</w:t>
      </w:r>
    </w:p>
    <w:p>
      <w:pPr>
        <w:pStyle w:val="4"/>
        <w:spacing w:line="460" w:lineRule="exact"/>
        <w:ind w:firstLine="560"/>
        <w:rPr>
          <w:rFonts w:hint="default" w:ascii="Times New Roman" w:hAnsi="Times New Roman"/>
          <w:u w:val="none"/>
        </w:rPr>
      </w:pPr>
      <w:r>
        <w:rPr>
          <w:rFonts w:hint="default" w:ascii="Times New Roman" w:hAnsi="Times New Roman"/>
          <w:u w:val="none"/>
        </w:rPr>
        <w:t>3.景观花园：主要考虑设置在居民建筑两侧、临水空地、道路两侧等区域的景观空间，采取模块化设计引导居民自发创造；</w:t>
      </w:r>
    </w:p>
    <w:p>
      <w:pPr>
        <w:pStyle w:val="4"/>
        <w:spacing w:line="460" w:lineRule="exact"/>
        <w:ind w:firstLine="560"/>
        <w:rPr>
          <w:rFonts w:hint="default" w:ascii="Times New Roman" w:hAnsi="Times New Roman" w:eastAsia="宋体" w:cs="Times New Roman"/>
          <w:sz w:val="28"/>
          <w:szCs w:val="24"/>
          <w:u w:val="none"/>
        </w:rPr>
      </w:pPr>
      <w:r>
        <w:rPr>
          <w:rFonts w:hint="default" w:ascii="Times New Roman" w:hAnsi="Times New Roman"/>
          <w:u w:val="none"/>
        </w:rPr>
        <w:t>4.城市家具：主要考虑公共开放空间、公共基础设施，结合当地乡村风貌，从公共设施的角度提升乡村风貌，加强新乡村示范带建设。</w:t>
      </w:r>
    </w:p>
    <w:p>
      <w:pPr>
        <w:pStyle w:val="4"/>
        <w:widowControl/>
        <w:spacing w:line="460" w:lineRule="exact"/>
        <w:ind w:firstLine="560"/>
        <w:rPr>
          <w:rFonts w:ascii="Times New Roman" w:hAnsi="Times New Roman"/>
        </w:rPr>
      </w:pPr>
      <w:r>
        <w:rPr>
          <w:rFonts w:ascii="Times New Roman" w:hAnsi="Times New Roman"/>
        </w:rPr>
        <w:t>结合村民实际的使用需求，打造具有当地特色的“渔家小院”亲水空间，为村民提供实用的居住生活生活空间的同时，重塑两岸村居滨水空间的景观风貌，打造“一线水乡，千户台院”的空间意向。</w:t>
      </w:r>
    </w:p>
    <w:p>
      <w:pPr>
        <w:pStyle w:val="4"/>
        <w:widowControl/>
        <w:spacing w:line="460" w:lineRule="exact"/>
        <w:ind w:firstLine="560"/>
        <w:rPr>
          <w:rFonts w:hint="default" w:ascii="Times New Roman" w:hAnsi="Times New Roman" w:eastAsia="宋体" w:cs="Times New Roman"/>
          <w:sz w:val="28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8"/>
          <w:szCs w:val="24"/>
          <w:u w:val="none"/>
          <w:lang w:eastAsia="zh-CN"/>
        </w:rPr>
        <w:t>设计范围部分进入河道管理范围，</w:t>
      </w:r>
      <w:r>
        <w:rPr>
          <w:rFonts w:hint="default" w:ascii="Times New Roman" w:hAnsi="Times New Roman" w:eastAsia="宋体" w:cs="Times New Roman"/>
          <w:sz w:val="28"/>
          <w:szCs w:val="24"/>
          <w:u w:val="none"/>
        </w:rPr>
        <w:t>根据《广东省河道管理条例》第十八条</w:t>
      </w:r>
      <w:r>
        <w:rPr>
          <w:rFonts w:hint="default" w:ascii="Times New Roman" w:hAnsi="Times New Roman" w:eastAsia="宋体" w:cs="Times New Roman"/>
          <w:sz w:val="28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8"/>
          <w:szCs w:val="24"/>
          <w:u w:val="none"/>
        </w:rPr>
        <w:t>在河道管理范围内禁止建设房屋等妨碍行洪的建筑物、构筑物，</w:t>
      </w:r>
      <w:r>
        <w:rPr>
          <w:rFonts w:hint="default" w:ascii="Times New Roman" w:hAnsi="Times New Roman" w:eastAsia="宋体" w:cs="Times New Roman"/>
          <w:sz w:val="28"/>
          <w:szCs w:val="24"/>
          <w:u w:val="none"/>
          <w:lang w:eastAsia="zh-CN"/>
        </w:rPr>
        <w:t>禁止</w:t>
      </w:r>
      <w:r>
        <w:rPr>
          <w:rFonts w:hint="default" w:ascii="Times New Roman" w:hAnsi="Times New Roman" w:eastAsia="宋体" w:cs="Times New Roman"/>
          <w:sz w:val="28"/>
          <w:szCs w:val="24"/>
          <w:u w:val="none"/>
        </w:rPr>
        <w:t>从事影响河势稳定、危害河岸堤防安全和妨碍河道行洪的活动</w:t>
      </w:r>
      <w:r>
        <w:rPr>
          <w:rFonts w:hint="default" w:ascii="Times New Roman" w:hAnsi="Times New Roman" w:eastAsia="宋体" w:cs="Times New Roman"/>
          <w:sz w:val="28"/>
          <w:szCs w:val="24"/>
          <w:u w:val="none"/>
          <w:lang w:eastAsia="zh-CN"/>
        </w:rPr>
        <w:t>。</w:t>
      </w:r>
    </w:p>
    <w:p>
      <w:pPr>
        <w:pStyle w:val="3"/>
        <w:spacing w:line="240" w:lineRule="auto"/>
        <w:ind w:firstLine="562" w:firstLineChars="200"/>
        <w:rPr>
          <w:rFonts w:ascii="Times New Roman" w:hAnsi="Times New Roman"/>
          <w:bCs/>
          <w:kern w:val="2"/>
          <w:szCs w:val="28"/>
        </w:rPr>
      </w:pPr>
      <w:r>
        <w:rPr>
          <w:rFonts w:ascii="Times New Roman" w:hAnsi="Times New Roman"/>
          <w:bCs/>
          <w:kern w:val="2"/>
          <w:szCs w:val="28"/>
        </w:rPr>
        <w:t>工作方法</w:t>
      </w:r>
    </w:p>
    <w:p>
      <w:pPr>
        <w:pStyle w:val="4"/>
        <w:widowControl/>
        <w:spacing w:line="460" w:lineRule="exact"/>
        <w:rPr>
          <w:rFonts w:ascii="Times New Roman" w:hAnsi="Times New Roman" w:eastAsia="宋体"/>
          <w:sz w:val="28"/>
          <w:szCs w:val="24"/>
        </w:rPr>
      </w:pPr>
      <w:r>
        <w:rPr>
          <w:rFonts w:ascii="Times New Roman" w:hAnsi="Times New Roman" w:eastAsia="宋体"/>
          <w:sz w:val="28"/>
          <w:szCs w:val="24"/>
        </w:rPr>
        <w:t>本项目坚持开放性的设计过程，项目启动后，已经完成公众问卷调查、深度访谈，征求镇、社区和居民对渔家小院优化升级的需求和改造建议。渔家小院设计工作应在全面考虑以上调研结果上进行。</w:t>
      </w:r>
    </w:p>
    <w:p>
      <w:pPr>
        <w:pStyle w:val="3"/>
        <w:spacing w:line="240" w:lineRule="auto"/>
        <w:ind w:firstLine="562" w:firstLineChars="200"/>
        <w:rPr>
          <w:rFonts w:ascii="Times New Roman" w:hAnsi="Times New Roman"/>
          <w:bCs/>
          <w:kern w:val="2"/>
          <w:szCs w:val="28"/>
        </w:rPr>
      </w:pPr>
      <w:r>
        <w:rPr>
          <w:rFonts w:ascii="Times New Roman" w:hAnsi="Times New Roman"/>
          <w:bCs/>
          <w:kern w:val="2"/>
          <w:szCs w:val="28"/>
        </w:rPr>
        <w:t>设计原则</w:t>
      </w:r>
    </w:p>
    <w:p>
      <w:pPr>
        <w:pStyle w:val="4"/>
        <w:widowControl/>
        <w:spacing w:line="460" w:lineRule="exac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方案应</w:t>
      </w:r>
      <w:r>
        <w:rPr>
          <w:rFonts w:hint="default" w:ascii="Times New Roman" w:hAnsi="Times New Roman" w:eastAsia="宋体" w:cs="Times New Roman"/>
          <w:sz w:val="28"/>
          <w:szCs w:val="24"/>
          <w:lang w:eastAsia="zh-CN"/>
        </w:rPr>
        <w:t>根据《广东省河道管理条例》，在</w:t>
      </w:r>
      <w:r>
        <w:rPr>
          <w:rFonts w:hint="default" w:ascii="Times New Roman" w:hAnsi="Times New Roman" w:eastAsia="宋体"/>
          <w:sz w:val="28"/>
          <w:szCs w:val="24"/>
          <w:lang w:eastAsia="zh-CN"/>
        </w:rPr>
        <w:t>保障</w:t>
      </w:r>
      <w:r>
        <w:rPr>
          <w:rFonts w:hint="default" w:ascii="Times New Roman" w:hAnsi="Times New Roman" w:eastAsia="宋体"/>
          <w:sz w:val="28"/>
          <w:szCs w:val="24"/>
        </w:rPr>
        <w:t>行洪</w:t>
      </w:r>
      <w:r>
        <w:rPr>
          <w:rFonts w:hint="default" w:ascii="Times New Roman" w:hAnsi="Times New Roman" w:eastAsia="宋体"/>
          <w:sz w:val="28"/>
          <w:szCs w:val="24"/>
          <w:lang w:eastAsia="zh-CN"/>
        </w:rPr>
        <w:t>安全、满足河道管理要求的前提下，</w:t>
      </w:r>
      <w:r>
        <w:rPr>
          <w:rFonts w:ascii="Times New Roman" w:hAnsi="Times New Roman"/>
        </w:rPr>
        <w:t>综合考虑在地气候、建筑风貌、民风民俗等要素，重点突出功能性、创新性、低碳性和可实施性，有效调和民居建</w:t>
      </w:r>
      <w:bookmarkStart w:id="0" w:name="_GoBack"/>
      <w:bookmarkEnd w:id="0"/>
      <w:r>
        <w:rPr>
          <w:rFonts w:ascii="Times New Roman" w:hAnsi="Times New Roman"/>
        </w:rPr>
        <w:t>筑与周边环境的关系，营造出具有场所感、趣味感和视觉美感的滨水空间。</w:t>
      </w:r>
    </w:p>
    <w:p>
      <w:pPr>
        <w:pStyle w:val="4"/>
        <w:widowControl/>
        <w:spacing w:line="460" w:lineRule="exac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设计应注重实施性强，在材料应用、建筑构造等层面的设计中，充分考虑在地气候、安装环境、制作成本等因素，确保材料的坚固耐用</w:t>
      </w:r>
      <w:r>
        <w:rPr>
          <w:rFonts w:ascii="Times New Roman" w:hAnsi="Times New Roman"/>
          <w:u w:val="none"/>
        </w:rPr>
        <w:t>、组装便捷、</w:t>
      </w:r>
      <w:r>
        <w:rPr>
          <w:rFonts w:ascii="Times New Roman" w:hAnsi="Times New Roman"/>
        </w:rPr>
        <w:t>经济实用</w:t>
      </w:r>
      <w:r>
        <w:rPr>
          <w:rFonts w:ascii="Times New Roman" w:hAnsi="Times New Roman"/>
          <w:u w:val="none"/>
        </w:rPr>
        <w:t>。</w:t>
      </w:r>
    </w:p>
    <w:p>
      <w:pPr>
        <w:pStyle w:val="3"/>
        <w:spacing w:line="240" w:lineRule="auto"/>
        <w:ind w:firstLine="562" w:firstLineChars="200"/>
        <w:rPr>
          <w:rFonts w:ascii="Times New Roman" w:hAnsi="Times New Roman"/>
          <w:bCs/>
          <w:kern w:val="2"/>
          <w:szCs w:val="28"/>
        </w:rPr>
      </w:pPr>
      <w:r>
        <w:rPr>
          <w:rFonts w:ascii="Times New Roman" w:hAnsi="Times New Roman"/>
          <w:bCs/>
          <w:kern w:val="2"/>
          <w:szCs w:val="28"/>
        </w:rPr>
        <w:t>成果要求</w:t>
      </w:r>
    </w:p>
    <w:p>
      <w:pPr>
        <w:pStyle w:val="4"/>
        <w:spacing w:line="460" w:lineRule="exact"/>
        <w:ind w:left="1740" w:leftChars="200" w:hanging="1260" w:hangingChars="450"/>
        <w:rPr>
          <w:rStyle w:val="8"/>
          <w:rFonts w:ascii="Times New Roman" w:hAnsi="Times New Roman"/>
          <w:color w:val="auto"/>
          <w:u w:val="none"/>
        </w:rPr>
      </w:pPr>
      <w:r>
        <w:rPr>
          <w:rStyle w:val="8"/>
          <w:rFonts w:ascii="Times New Roman" w:hAnsi="Times New Roman"/>
          <w:color w:val="auto"/>
          <w:u w:val="none"/>
        </w:rPr>
        <w:t>1、内容：</w:t>
      </w:r>
      <w:r>
        <w:rPr>
          <w:rStyle w:val="8"/>
          <w:rFonts w:hint="eastAsia" w:ascii="宋体" w:hAnsi="宋体" w:cs="宋体"/>
          <w:color w:val="auto"/>
          <w:u w:val="none"/>
        </w:rPr>
        <w:t>①</w:t>
      </w:r>
      <w:r>
        <w:rPr>
          <w:rStyle w:val="8"/>
          <w:rFonts w:ascii="Times New Roman" w:hAnsi="Times New Roman"/>
          <w:color w:val="auto"/>
          <w:u w:val="none"/>
        </w:rPr>
        <w:t>方案图纸：完整呈现概念方案整体思路和逻辑，包括但不限于平面图、结构大样图、效果图等；</w:t>
      </w:r>
    </w:p>
    <w:p>
      <w:pPr>
        <w:pStyle w:val="4"/>
        <w:spacing w:line="460" w:lineRule="exact"/>
        <w:ind w:left="1680" w:leftChars="700" w:firstLine="0" w:firstLineChars="0"/>
        <w:rPr>
          <w:rStyle w:val="8"/>
          <w:rFonts w:ascii="Times New Roman" w:hAnsi="Times New Roman"/>
          <w:color w:val="auto"/>
          <w:u w:val="none"/>
        </w:rPr>
      </w:pPr>
      <w:r>
        <w:rPr>
          <w:rStyle w:val="8"/>
          <w:rFonts w:hint="eastAsia" w:ascii="宋体" w:hAnsi="宋体" w:cs="宋体"/>
          <w:color w:val="auto"/>
          <w:u w:val="none"/>
        </w:rPr>
        <w:t>②</w:t>
      </w:r>
      <w:r>
        <w:rPr>
          <w:rStyle w:val="8"/>
          <w:rFonts w:ascii="Times New Roman" w:hAnsi="Times New Roman"/>
          <w:color w:val="auto"/>
          <w:u w:val="none"/>
        </w:rPr>
        <w:t>设计文本：作品介绍和标准模块单元分析，包含不少于300字的设计理念和不少于3张模块单元分析图纸；</w:t>
      </w:r>
    </w:p>
    <w:p>
      <w:pPr>
        <w:pStyle w:val="4"/>
        <w:spacing w:line="460" w:lineRule="exact"/>
        <w:ind w:left="480" w:leftChars="200" w:firstLine="1260" w:firstLineChars="450"/>
        <w:rPr>
          <w:rStyle w:val="8"/>
          <w:rFonts w:ascii="Times New Roman" w:hAnsi="Times New Roman"/>
          <w:color w:val="auto"/>
          <w:u w:val="none"/>
        </w:rPr>
      </w:pPr>
      <w:r>
        <w:rPr>
          <w:rStyle w:val="8"/>
          <w:rFonts w:hint="eastAsia" w:ascii="宋体" w:hAnsi="宋体" w:cs="宋体"/>
          <w:color w:val="auto"/>
          <w:u w:val="none"/>
        </w:rPr>
        <w:t>③</w:t>
      </w:r>
      <w:r>
        <w:rPr>
          <w:rStyle w:val="8"/>
          <w:rFonts w:ascii="Times New Roman" w:hAnsi="Times New Roman"/>
          <w:color w:val="auto"/>
          <w:u w:val="none"/>
        </w:rPr>
        <w:t>三维模型：标准模块单元三维模型。</w:t>
      </w:r>
    </w:p>
    <w:p>
      <w:pPr>
        <w:pStyle w:val="4"/>
        <w:numPr>
          <w:ilvl w:val="0"/>
          <w:numId w:val="2"/>
        </w:numPr>
        <w:spacing w:line="460" w:lineRule="exact"/>
        <w:ind w:left="1740" w:leftChars="200" w:hanging="1260" w:hangingChars="450"/>
        <w:rPr>
          <w:rStyle w:val="8"/>
          <w:rFonts w:ascii="Times New Roman" w:hAnsi="Times New Roman"/>
          <w:color w:val="auto"/>
          <w:u w:val="none"/>
        </w:rPr>
      </w:pPr>
      <w:r>
        <w:rPr>
          <w:rStyle w:val="8"/>
          <w:rFonts w:ascii="Times New Roman" w:hAnsi="Times New Roman"/>
          <w:color w:val="auto"/>
          <w:u w:val="none"/>
        </w:rPr>
        <w:t>规格：</w:t>
      </w:r>
      <w:r>
        <w:rPr>
          <w:rStyle w:val="8"/>
          <w:rFonts w:hint="eastAsia" w:ascii="宋体" w:hAnsi="宋体" w:cs="宋体"/>
          <w:color w:val="auto"/>
          <w:u w:val="none"/>
        </w:rPr>
        <w:t>①</w:t>
      </w:r>
      <w:r>
        <w:rPr>
          <w:rStyle w:val="8"/>
          <w:rFonts w:ascii="Times New Roman" w:hAnsi="Times New Roman"/>
          <w:color w:val="auto"/>
          <w:u w:val="none"/>
        </w:rPr>
        <w:t>方案图纸：竖版A1两张，需使用举办方指定版底；</w:t>
      </w:r>
    </w:p>
    <w:p>
      <w:pPr>
        <w:pStyle w:val="4"/>
        <w:spacing w:line="460" w:lineRule="exact"/>
        <w:ind w:left="1740" w:leftChars="200" w:hanging="1260" w:hangingChars="450"/>
        <w:rPr>
          <w:rStyle w:val="8"/>
          <w:rFonts w:ascii="Times New Roman" w:hAnsi="Times New Roman"/>
          <w:color w:val="auto"/>
          <w:u w:val="none"/>
        </w:rPr>
      </w:pPr>
      <w:r>
        <w:rPr>
          <w:rStyle w:val="8"/>
          <w:rFonts w:ascii="Times New Roman" w:hAnsi="Times New Roman"/>
          <w:color w:val="auto"/>
          <w:u w:val="none"/>
        </w:rPr>
        <w:t>3、格式：</w:t>
      </w:r>
      <w:r>
        <w:rPr>
          <w:rStyle w:val="8"/>
          <w:rFonts w:hint="eastAsia" w:ascii="宋体" w:hAnsi="宋体" w:cs="宋体"/>
          <w:color w:val="auto"/>
          <w:u w:val="none"/>
        </w:rPr>
        <w:t>①</w:t>
      </w:r>
      <w:r>
        <w:rPr>
          <w:rStyle w:val="8"/>
          <w:rFonts w:ascii="Times New Roman" w:hAnsi="Times New Roman"/>
          <w:color w:val="auto"/>
          <w:u w:val="none"/>
        </w:rPr>
        <w:t>方案图纸：jpg/pdf格式，分辨率：300dpi；</w:t>
      </w:r>
    </w:p>
    <w:p>
      <w:pPr>
        <w:pStyle w:val="4"/>
        <w:spacing w:line="460" w:lineRule="exact"/>
        <w:ind w:left="480" w:leftChars="200" w:firstLine="1260" w:firstLineChars="450"/>
        <w:rPr>
          <w:rStyle w:val="8"/>
          <w:rFonts w:ascii="Times New Roman" w:hAnsi="Times New Roman"/>
          <w:color w:val="auto"/>
          <w:u w:val="none"/>
        </w:rPr>
      </w:pPr>
      <w:r>
        <w:rPr>
          <w:rStyle w:val="8"/>
          <w:rFonts w:hint="eastAsia" w:ascii="宋体" w:hAnsi="宋体" w:cs="宋体"/>
          <w:color w:val="auto"/>
          <w:u w:val="none"/>
        </w:rPr>
        <w:t>②</w:t>
      </w:r>
      <w:r>
        <w:rPr>
          <w:rStyle w:val="8"/>
          <w:rFonts w:ascii="Times New Roman" w:hAnsi="Times New Roman"/>
          <w:color w:val="auto"/>
          <w:u w:val="none"/>
        </w:rPr>
        <w:t>设计文本：PPT/PDF或JPG图纸格式；</w:t>
      </w:r>
    </w:p>
    <w:p>
      <w:pPr>
        <w:pStyle w:val="4"/>
        <w:spacing w:line="460" w:lineRule="exact"/>
        <w:ind w:left="480" w:leftChars="200" w:firstLine="1260" w:firstLineChars="450"/>
        <w:rPr>
          <w:rStyle w:val="8"/>
          <w:rFonts w:ascii="Times New Roman" w:hAnsi="Times New Roman"/>
          <w:color w:val="auto"/>
          <w:u w:val="none"/>
        </w:rPr>
      </w:pPr>
      <w:r>
        <w:rPr>
          <w:rStyle w:val="8"/>
          <w:rFonts w:hint="eastAsia" w:ascii="宋体" w:hAnsi="宋体" w:cs="宋体"/>
          <w:color w:val="auto"/>
          <w:u w:val="none"/>
        </w:rPr>
        <w:t>③</w:t>
      </w:r>
      <w:r>
        <w:rPr>
          <w:rStyle w:val="8"/>
          <w:rFonts w:ascii="Times New Roman" w:hAnsi="Times New Roman"/>
          <w:color w:val="auto"/>
          <w:u w:val="none"/>
        </w:rPr>
        <w:t>三维模型：支持SketchUp/Rhino/Lumion/3ds Max</w:t>
      </w:r>
    </w:p>
    <w:p>
      <w:pPr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FangSong_GB2312">
    <w:altName w:val="仿宋_GB2312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F4FFC0"/>
    <w:multiLevelType w:val="singleLevel"/>
    <w:tmpl w:val="66F4FFC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7F74A03F"/>
    <w:multiLevelType w:val="multilevel"/>
    <w:tmpl w:val="7F74A03F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5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F7F73"/>
    <w:rsid w:val="000B52C7"/>
    <w:rsid w:val="002420C6"/>
    <w:rsid w:val="00314FF1"/>
    <w:rsid w:val="00370460"/>
    <w:rsid w:val="005E0DB1"/>
    <w:rsid w:val="006047DD"/>
    <w:rsid w:val="006A1EC3"/>
    <w:rsid w:val="007813D3"/>
    <w:rsid w:val="008D74E0"/>
    <w:rsid w:val="00BE5C9E"/>
    <w:rsid w:val="00C46379"/>
    <w:rsid w:val="00CD0EEC"/>
    <w:rsid w:val="00FC1EE5"/>
    <w:rsid w:val="13AD648F"/>
    <w:rsid w:val="162F1015"/>
    <w:rsid w:val="244A0AAF"/>
    <w:rsid w:val="2C3F7F73"/>
    <w:rsid w:val="359517F6"/>
    <w:rsid w:val="51E4602C"/>
    <w:rsid w:val="5FD55DA2"/>
    <w:rsid w:val="60B719F4"/>
    <w:rsid w:val="62033579"/>
    <w:rsid w:val="74EB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line="360" w:lineRule="auto"/>
      <w:outlineLvl w:val="0"/>
    </w:pPr>
    <w:rPr>
      <w:rFonts w:eastAsia="宋体"/>
      <w:b/>
      <w:kern w:val="44"/>
      <w:sz w:val="28"/>
    </w:rPr>
  </w:style>
  <w:style w:type="paragraph" w:styleId="5">
    <w:name w:val="heading 2"/>
    <w:basedOn w:val="1"/>
    <w:next w:val="4"/>
    <w:unhideWhenUsed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hAnsi="Arial" w:eastAsia="宋体"/>
      <w:b/>
      <w:sz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customStyle="1" w:styleId="4">
    <w:name w:val="正文正"/>
    <w:basedOn w:val="1"/>
    <w:qFormat/>
    <w:uiPriority w:val="0"/>
    <w:pPr>
      <w:spacing w:line="360" w:lineRule="auto"/>
      <w:ind w:firstLine="880" w:firstLineChars="200"/>
    </w:pPr>
    <w:rPr>
      <w:rFonts w:eastAsia="宋体"/>
      <w:sz w:val="2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233</Words>
  <Characters>1330</Characters>
  <Lines>11</Lines>
  <Paragraphs>3</Paragraphs>
  <TotalTime>0</TotalTime>
  <ScaleCrop>false</ScaleCrop>
  <LinksUpToDate>false</LinksUpToDate>
  <CharactersWithSpaces>1560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2022-09-16T16:38:00Z</dcterms:created>
  <dc:creator>彭麒</dc:creator>
  <cp:lastModifiedBy>NTKO</cp:lastModifiedBy>
  <dcterms:modified xsi:type="dcterms:W3CDTF">2024-03-25T08:26:33Z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6FB07513BFA24C17AC238205824AF722</vt:lpwstr>
  </property>
</Properties>
</file>