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kern w:val="2"/>
          <w:sz w:val="28"/>
          <w:szCs w:val="28"/>
          <w:lang w:eastAsia="zh-CN"/>
        </w:rPr>
      </w:pPr>
    </w:p>
    <w:p>
      <w:pPr>
        <w:jc w:val="center"/>
        <w:rPr>
          <w:rFonts w:ascii="Times New Roman" w:hAnsi="Times New Roman" w:eastAsia="宋体" w:cs="Times New Roman"/>
          <w:kern w:val="2"/>
          <w:sz w:val="28"/>
          <w:szCs w:val="28"/>
          <w:lang w:eastAsia="zh-CN"/>
        </w:rPr>
      </w:pPr>
    </w:p>
    <w:p>
      <w:pPr>
        <w:jc w:val="center"/>
        <w:rPr>
          <w:rFonts w:ascii="Times New Roman" w:hAnsi="Times New Roman" w:eastAsia="宋体" w:cs="Times New Roman"/>
          <w:kern w:val="2"/>
          <w:sz w:val="28"/>
          <w:szCs w:val="28"/>
          <w:lang w:eastAsia="zh-CN"/>
        </w:rPr>
      </w:pPr>
    </w:p>
    <w:p>
      <w:pPr>
        <w:jc w:val="center"/>
        <w:rPr>
          <w:rFonts w:ascii="Times New Roman" w:hAnsi="Times New Roman" w:eastAsia="宋体" w:cs="Times New Roman"/>
          <w:kern w:val="2"/>
          <w:sz w:val="28"/>
          <w:szCs w:val="28"/>
          <w:lang w:eastAsia="zh-CN"/>
        </w:rPr>
      </w:pPr>
    </w:p>
    <w:p>
      <w:pPr>
        <w:jc w:val="center"/>
        <w:rPr>
          <w:rFonts w:ascii="Times New Roman" w:hAnsi="Times New Roman" w:eastAsia="宋体" w:cs="Times New Roman"/>
          <w:kern w:val="2"/>
          <w:sz w:val="28"/>
          <w:szCs w:val="28"/>
          <w:lang w:eastAsia="zh-CN"/>
        </w:rPr>
      </w:pPr>
    </w:p>
    <w:p>
      <w:pPr>
        <w:spacing w:line="534" w:lineRule="exact"/>
        <w:ind w:left="2505"/>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征地补偿安置方案</w:t>
      </w:r>
    </w:p>
    <w:p>
      <w:pPr>
        <w:spacing w:before="7"/>
        <w:rPr>
          <w:rFonts w:ascii="Adobe 黑体 Std R" w:hAnsi="Adobe 黑体 Std R" w:eastAsia="Adobe 黑体 Std R" w:cs="Adobe 黑体 Std R"/>
          <w:sz w:val="34"/>
          <w:szCs w:val="34"/>
          <w:lang w:eastAsia="zh-CN"/>
        </w:rPr>
      </w:pPr>
    </w:p>
    <w:p>
      <w:pPr>
        <w:pStyle w:val="4"/>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为实施广州市花都区赤坭镇、炭步镇建设规划，完善城市功能，改善城市环境，促进经济、文化发展。我区拟征收广州市花都区炭步镇社岗南三经济合作社，社岗南二经济合作社，平岭头经济联合社，新太黄村第四经济合作社，赤坭镇门口坑第二经济合作社，横沙经济联合社，珊瑚第五经济合作社，西边第一经济合作社、西边第十三经济合作社（共有）属下的集体土地2.1877公顷，面积合计2.1877公顷。根据《中华人民共和国土地管理法》第二条、第四十五条、第四十七条，《中华人民共和国土地管理法实施条例》第二十七条、第二十八条，以及《广东省</w:t>
      </w:r>
      <w:r>
        <w:rPr>
          <w:rFonts w:ascii="Times New Roman" w:hAnsi="Times New Roman" w:eastAsia="仿宋_GB2312" w:cs="Times New Roman"/>
          <w:spacing w:val="6"/>
          <w:lang w:eastAsia="zh-CN"/>
        </w:rPr>
        <w:t>土地管理条例》第三十条等规定，结合花都</w:t>
      </w:r>
      <w:r>
        <w:rPr>
          <w:rFonts w:ascii="Times New Roman" w:hAnsi="Times New Roman" w:eastAsia="仿宋_GB2312" w:cs="Times New Roman"/>
          <w:spacing w:val="5"/>
          <w:lang w:eastAsia="zh-CN"/>
        </w:rPr>
        <w:t>区的征收农用地</w:t>
      </w:r>
      <w:r>
        <w:rPr>
          <w:rFonts w:ascii="Times New Roman" w:hAnsi="Times New Roman" w:eastAsia="仿宋_GB2312" w:cs="Times New Roman"/>
          <w:lang w:eastAsia="zh-CN"/>
        </w:rPr>
        <w:t>区片综合地价和实际情况，拟定了征地补偿安置方案，具体如下：</w:t>
      </w:r>
    </w:p>
    <w:p>
      <w:pPr>
        <w:pStyle w:val="4"/>
        <w:spacing w:before="0" w:line="56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一、征收范围</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w:t>
      </w:r>
      <w:r>
        <w:rPr>
          <w:rFonts w:hint="eastAsia" w:ascii="Times New Roman" w:hAnsi="Times New Roman" w:eastAsia="仿宋_GB2312" w:cs="Times New Roman"/>
          <w:sz w:val="32"/>
          <w:szCs w:val="32"/>
          <w:lang w:eastAsia="zh-CN"/>
        </w:rPr>
        <w:t>广州市花都区炭步镇社岗南三经济合作社，社岗南二经济合作社，平岭头经济联合社，新太黄村第四经济合作社，赤坭镇门口坑第二经济合作社，横沙经济联合社，珊瑚第五经济合作社，西边第一经济合作社、西边第十三经济合作社（共有），珊瑚第五经济合作社</w:t>
      </w:r>
      <w:r>
        <w:rPr>
          <w:rFonts w:ascii="Times New Roman" w:hAnsi="Times New Roman" w:eastAsia="仿宋_GB2312" w:cs="Times New Roman"/>
          <w:sz w:val="32"/>
          <w:szCs w:val="32"/>
          <w:lang w:eastAsia="zh-CN"/>
        </w:rPr>
        <w:t>范围内，具体位置详见附图。</w:t>
      </w:r>
    </w:p>
    <w:p>
      <w:pPr>
        <w:pStyle w:val="4"/>
        <w:spacing w:before="0" w:line="56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实际征收土地范围以最终批准文件为准。</w:t>
      </w:r>
    </w:p>
    <w:p>
      <w:pPr>
        <w:pStyle w:val="4"/>
        <w:spacing w:before="0" w:line="56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二、征收目的</w:t>
      </w:r>
    </w:p>
    <w:p>
      <w:pPr>
        <w:pStyle w:val="4"/>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根据《中华人民共和国土地管理法》第四十五条的规定，本次征收土地目的为了公共利益的需要，由政府组织实施的能源、交通、水利、通信、邮政等基础设施建设需要用地，拟征收土地规划用途为公共管理与公共服务用地，用地报批组卷批次号为广州市花都区2024年度第二十批次城镇建设用地。</w:t>
      </w:r>
    </w:p>
    <w:p>
      <w:pPr>
        <w:pStyle w:val="4"/>
        <w:spacing w:before="0" w:line="56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三、土地现状</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（一）拟征收广州市花都区赤坭镇横沙经济联合社属下的集体所有土地</w:t>
      </w:r>
      <w:r>
        <w:rPr>
          <w:rFonts w:ascii="Times New Roman" w:hAnsi="Times New Roman" w:eastAsia="仿宋_GB2312" w:cs="Times New Roman"/>
          <w:sz w:val="32"/>
          <w:szCs w:val="32"/>
          <w:lang w:eastAsia="zh-CN"/>
        </w:rPr>
        <w:t>0.3946</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5.9190</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0.0199</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0.2985</w:t>
      </w:r>
      <w:r>
        <w:rPr>
          <w:rFonts w:hint="eastAsia" w:ascii="Times New Roman" w:hAnsi="Times New Roman" w:eastAsia="仿宋_GB2312" w:cs="Times New Roman"/>
          <w:sz w:val="32"/>
          <w:szCs w:val="32"/>
          <w:lang w:eastAsia="zh-CN"/>
        </w:rPr>
        <w:t>亩），不涉及耕地；建设用地</w:t>
      </w:r>
      <w:r>
        <w:rPr>
          <w:rFonts w:ascii="Times New Roman" w:hAnsi="Times New Roman" w:eastAsia="仿宋_GB2312" w:cs="Times New Roman"/>
          <w:sz w:val="32"/>
          <w:szCs w:val="32"/>
          <w:lang w:eastAsia="zh-CN"/>
        </w:rPr>
        <w:t>0.3747</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5.6205</w:t>
      </w:r>
      <w:r>
        <w:rPr>
          <w:rFonts w:hint="eastAsia" w:ascii="Times New Roman" w:hAnsi="Times New Roman" w:eastAsia="仿宋_GB2312" w:cs="Times New Roman"/>
          <w:sz w:val="32"/>
          <w:szCs w:val="32"/>
          <w:lang w:eastAsia="zh-CN"/>
        </w:rPr>
        <w:t>亩）；不涉及未利用地。</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（二）拟征收广州市花都区赤坭镇门口坑第二经济合作社属下的集体所有土地</w:t>
      </w:r>
      <w:r>
        <w:rPr>
          <w:rFonts w:ascii="Times New Roman" w:hAnsi="Times New Roman" w:eastAsia="仿宋_GB2312" w:cs="Times New Roman"/>
          <w:sz w:val="32"/>
          <w:szCs w:val="32"/>
          <w:lang w:eastAsia="zh-CN"/>
        </w:rPr>
        <w:t>0.0998</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1.4970</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0.0231</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0.3465</w:t>
      </w:r>
      <w:r>
        <w:rPr>
          <w:rFonts w:hint="eastAsia" w:ascii="Times New Roman" w:hAnsi="Times New Roman" w:eastAsia="仿宋_GB2312" w:cs="Times New Roman"/>
          <w:sz w:val="32"/>
          <w:szCs w:val="32"/>
          <w:lang w:eastAsia="zh-CN"/>
        </w:rPr>
        <w:t>亩），不涉及耕地；建设用地</w:t>
      </w:r>
      <w:r>
        <w:rPr>
          <w:rFonts w:ascii="Times New Roman" w:hAnsi="Times New Roman" w:eastAsia="仿宋_GB2312" w:cs="Times New Roman"/>
          <w:sz w:val="32"/>
          <w:szCs w:val="32"/>
          <w:lang w:eastAsia="zh-CN"/>
        </w:rPr>
        <w:t>0.0767</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1.1505</w:t>
      </w:r>
      <w:r>
        <w:rPr>
          <w:rFonts w:hint="eastAsia" w:ascii="Times New Roman" w:hAnsi="Times New Roman" w:eastAsia="仿宋_GB2312" w:cs="Times New Roman"/>
          <w:sz w:val="32"/>
          <w:szCs w:val="32"/>
          <w:lang w:eastAsia="zh-CN"/>
        </w:rPr>
        <w:t>亩）；不涉及未利用地。</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（三）拟征收广州市花都区赤坭镇珊瑚第五经济合作社属下的集体所有土地</w:t>
      </w:r>
      <w:r>
        <w:rPr>
          <w:rFonts w:ascii="Times New Roman" w:hAnsi="Times New Roman" w:eastAsia="仿宋_GB2312" w:cs="Times New Roman"/>
          <w:sz w:val="32"/>
          <w:szCs w:val="32"/>
          <w:lang w:eastAsia="zh-CN"/>
        </w:rPr>
        <w:t>0.6953</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10.4295</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0.0278</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0.4170</w:t>
      </w:r>
      <w:r>
        <w:rPr>
          <w:rFonts w:hint="eastAsia" w:ascii="Times New Roman" w:hAnsi="Times New Roman" w:eastAsia="仿宋_GB2312" w:cs="Times New Roman"/>
          <w:sz w:val="32"/>
          <w:szCs w:val="32"/>
          <w:lang w:eastAsia="zh-CN"/>
        </w:rPr>
        <w:t>亩），不涉及耕地；建设用地</w:t>
      </w:r>
      <w:r>
        <w:rPr>
          <w:rFonts w:ascii="Times New Roman" w:hAnsi="Times New Roman" w:eastAsia="仿宋_GB2312" w:cs="Times New Roman"/>
          <w:sz w:val="32"/>
          <w:szCs w:val="32"/>
          <w:lang w:eastAsia="zh-CN"/>
        </w:rPr>
        <w:t>0.6675</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10.0125</w:t>
      </w:r>
      <w:r>
        <w:rPr>
          <w:rFonts w:hint="eastAsia" w:ascii="Times New Roman" w:hAnsi="Times New Roman" w:eastAsia="仿宋_GB2312" w:cs="Times New Roman"/>
          <w:sz w:val="32"/>
          <w:szCs w:val="32"/>
          <w:lang w:eastAsia="zh-CN"/>
        </w:rPr>
        <w:t>亩）；不涉及未利用地。</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（四）拟征收广州市花都区赤坭镇西边第一经济合作社、西边第十三经济合作社（共有）属下的集体所有土地</w:t>
      </w:r>
      <w:r>
        <w:rPr>
          <w:rFonts w:ascii="Times New Roman" w:hAnsi="Times New Roman" w:eastAsia="仿宋_GB2312" w:cs="Times New Roman"/>
          <w:sz w:val="32"/>
          <w:szCs w:val="32"/>
          <w:lang w:eastAsia="zh-CN"/>
        </w:rPr>
        <w:t>0.6993</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10.4895</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0.0387</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0.5805</w:t>
      </w:r>
      <w:r>
        <w:rPr>
          <w:rFonts w:hint="eastAsia" w:ascii="Times New Roman" w:hAnsi="Times New Roman" w:eastAsia="仿宋_GB2312" w:cs="Times New Roman"/>
          <w:sz w:val="32"/>
          <w:szCs w:val="32"/>
          <w:lang w:eastAsia="zh-CN"/>
        </w:rPr>
        <w:t>亩），不涉及耕地；建设用地</w:t>
      </w:r>
      <w:r>
        <w:rPr>
          <w:rFonts w:ascii="Times New Roman" w:hAnsi="Times New Roman" w:eastAsia="仿宋_GB2312" w:cs="Times New Roman"/>
          <w:sz w:val="32"/>
          <w:szCs w:val="32"/>
          <w:lang w:eastAsia="zh-CN"/>
        </w:rPr>
        <w:t>0.6606</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9.9090</w:t>
      </w:r>
      <w:r>
        <w:rPr>
          <w:rFonts w:hint="eastAsia" w:ascii="Times New Roman" w:hAnsi="Times New Roman" w:eastAsia="仿宋_GB2312" w:cs="Times New Roman"/>
          <w:sz w:val="32"/>
          <w:szCs w:val="32"/>
          <w:lang w:eastAsia="zh-CN"/>
        </w:rPr>
        <w:t>亩）；不涉及未利用地。</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（五）拟征收广州市花都区炭步镇平岭头经济联合社属下的集体所有土地</w:t>
      </w:r>
      <w:r>
        <w:rPr>
          <w:rFonts w:ascii="Times New Roman" w:hAnsi="Times New Roman" w:eastAsia="仿宋_GB2312" w:cs="Times New Roman"/>
          <w:sz w:val="32"/>
          <w:szCs w:val="32"/>
          <w:lang w:eastAsia="zh-CN"/>
        </w:rPr>
        <w:t>0.0996</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1.4940</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0.0014</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0.0210</w:t>
      </w:r>
      <w:r>
        <w:rPr>
          <w:rFonts w:hint="eastAsia" w:ascii="Times New Roman" w:hAnsi="Times New Roman" w:eastAsia="仿宋_GB2312" w:cs="Times New Roman"/>
          <w:sz w:val="32"/>
          <w:szCs w:val="32"/>
          <w:lang w:eastAsia="zh-CN"/>
        </w:rPr>
        <w:t>亩），不涉及耕地；建设用地</w:t>
      </w:r>
      <w:r>
        <w:rPr>
          <w:rFonts w:ascii="Times New Roman" w:hAnsi="Times New Roman" w:eastAsia="仿宋_GB2312" w:cs="Times New Roman"/>
          <w:sz w:val="32"/>
          <w:szCs w:val="32"/>
          <w:lang w:eastAsia="zh-CN"/>
        </w:rPr>
        <w:t>0.0982</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1.4730</w:t>
      </w:r>
      <w:r>
        <w:rPr>
          <w:rFonts w:hint="eastAsia" w:ascii="Times New Roman" w:hAnsi="Times New Roman" w:eastAsia="仿宋_GB2312" w:cs="Times New Roman"/>
          <w:sz w:val="32"/>
          <w:szCs w:val="32"/>
          <w:lang w:eastAsia="zh-CN"/>
        </w:rPr>
        <w:t>亩）；不涉及未利用地。</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（六）拟征收广州市花都区炭步镇社岗南二经济合作社属下的集体所有土地</w:t>
      </w:r>
      <w:r>
        <w:rPr>
          <w:rFonts w:ascii="Times New Roman" w:hAnsi="Times New Roman" w:eastAsia="仿宋_GB2312" w:cs="Times New Roman"/>
          <w:sz w:val="32"/>
          <w:szCs w:val="32"/>
          <w:lang w:eastAsia="zh-CN"/>
        </w:rPr>
        <w:t>0.0691</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1.0365</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0.0691</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1.0365</w:t>
      </w:r>
      <w:r>
        <w:rPr>
          <w:rFonts w:hint="eastAsia" w:ascii="Times New Roman" w:hAnsi="Times New Roman" w:eastAsia="仿宋_GB2312" w:cs="Times New Roman"/>
          <w:sz w:val="32"/>
          <w:szCs w:val="32"/>
          <w:lang w:eastAsia="zh-CN"/>
        </w:rPr>
        <w:t>亩），不涉及耕地；不涉及未利用地。</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（七）拟征收广州市花都区炭步镇社岗南三经济合作社属下的集体所有土地</w:t>
      </w:r>
      <w:r>
        <w:rPr>
          <w:rFonts w:ascii="Times New Roman" w:hAnsi="Times New Roman" w:eastAsia="仿宋_GB2312" w:cs="Times New Roman"/>
          <w:sz w:val="32"/>
          <w:szCs w:val="32"/>
          <w:lang w:eastAsia="zh-CN"/>
        </w:rPr>
        <w:t>0.0303</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0.4545</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0.0303</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0.4545</w:t>
      </w:r>
      <w:r>
        <w:rPr>
          <w:rFonts w:hint="eastAsia" w:ascii="Times New Roman" w:hAnsi="Times New Roman" w:eastAsia="仿宋_GB2312" w:cs="Times New Roman"/>
          <w:sz w:val="32"/>
          <w:szCs w:val="32"/>
          <w:lang w:eastAsia="zh-CN"/>
        </w:rPr>
        <w:t>亩），不涉及耕地；不涉及未利用地。</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（八）拟征收广州市花都区炭步镇新太黄村第四经济合作社属下的集体所有土地</w:t>
      </w:r>
      <w:r>
        <w:rPr>
          <w:rFonts w:ascii="Times New Roman" w:hAnsi="Times New Roman" w:eastAsia="仿宋_GB2312" w:cs="Times New Roman"/>
          <w:sz w:val="32"/>
          <w:szCs w:val="32"/>
          <w:lang w:eastAsia="zh-CN"/>
        </w:rPr>
        <w:t>0.0997</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1.4955</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0.0997</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1.4955</w:t>
      </w:r>
      <w:r>
        <w:rPr>
          <w:rFonts w:hint="eastAsia" w:ascii="Times New Roman" w:hAnsi="Times New Roman" w:eastAsia="仿宋_GB2312" w:cs="Times New Roman"/>
          <w:sz w:val="32"/>
          <w:szCs w:val="32"/>
          <w:lang w:eastAsia="zh-CN"/>
        </w:rPr>
        <w:t>亩），不涉及耕地；不涉及未利用地。</w:t>
      </w:r>
    </w:p>
    <w:p>
      <w:pPr>
        <w:pStyle w:val="4"/>
        <w:spacing w:before="0" w:line="52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四、补偿方式和标准</w:t>
      </w:r>
    </w:p>
    <w:p>
      <w:pPr>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（一）土地补偿费和安置补助费标准。</w:t>
      </w:r>
    </w:p>
    <w:p>
      <w:pPr>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根据《中华人民共和国土地管理法》《广东省土地管理条例》等规定，并结合《</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的规定，征收集体农用地按165万元/公顷补偿（其中，土地补偿费82.5万元/公顷、安置补助费82.5万元/公顷）、建设用地和未利用地按165万元/公顷的标准补偿。</w:t>
      </w:r>
    </w:p>
    <w:p>
      <w:pPr>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（二）农村村民住宅</w:t>
      </w:r>
      <w:r>
        <w:rPr>
          <w:rFonts w:hint="eastAsia" w:ascii="Times New Roman" w:hAnsi="Times New Roman" w:eastAsia="仿宋_GB2312" w:cs="Times New Roman"/>
          <w:sz w:val="32"/>
          <w:szCs w:val="32"/>
          <w:lang w:eastAsia="zh-CN"/>
        </w:rPr>
        <w:t>、青苗及其他地上附着物</w:t>
      </w:r>
      <w:r>
        <w:rPr>
          <w:rFonts w:ascii="Times New Roman" w:hAnsi="Times New Roman" w:eastAsia="仿宋_GB2312" w:cs="Times New Roman"/>
          <w:sz w:val="32"/>
          <w:szCs w:val="32"/>
          <w:lang w:eastAsia="zh-CN"/>
        </w:rPr>
        <w:t>补偿。</w:t>
      </w:r>
    </w:p>
    <w:p>
      <w:pPr>
        <w:spacing w:line="52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本次征地不涉及农村村民住宅、青苗及其他地上附着物补偿。</w:t>
      </w:r>
    </w:p>
    <w:p>
      <w:pPr>
        <w:spacing w:line="52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五、安置对象</w:t>
      </w:r>
    </w:p>
    <w:p>
      <w:pPr>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pPr>
        <w:spacing w:line="52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六、安置方式和社会保障</w:t>
      </w:r>
    </w:p>
    <w:p>
      <w:pPr>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pPr>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《广州市人民政府办公厅关于进一步加强征收农村集体土地留用地管理的意见》（穗府办规〔2018〕17号）相关规定，按实际征收土地面积的10%安排留用地，留用地兑现方式为折算货币补偿。</w:t>
      </w:r>
    </w:p>
    <w:p>
      <w:pPr>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w:t>
      </w:r>
      <w:r>
        <w:rPr>
          <w:rFonts w:hint="eastAsia" w:ascii="Times New Roman" w:hAnsi="Times New Roman" w:eastAsia="仿宋_GB2312" w:cs="Times New Roman"/>
          <w:sz w:val="32"/>
          <w:szCs w:val="32"/>
          <w:lang w:eastAsia="zh-CN"/>
        </w:rPr>
        <w:t>核定该项目按2.14万元/亩的标准计提</w:t>
      </w:r>
      <w:r>
        <w:rPr>
          <w:rFonts w:ascii="Times New Roman" w:hAnsi="Times New Roman" w:eastAsia="仿宋_GB2312" w:cs="Times New Roman"/>
          <w:sz w:val="32"/>
          <w:szCs w:val="32"/>
          <w:lang w:eastAsia="zh-CN"/>
        </w:rPr>
        <w:t>一次性</w:t>
      </w:r>
      <w:r>
        <w:rPr>
          <w:rFonts w:hint="eastAsia" w:ascii="Times New Roman" w:hAnsi="Times New Roman" w:eastAsia="仿宋_GB2312" w:cs="Times New Roman"/>
          <w:sz w:val="32"/>
          <w:szCs w:val="32"/>
          <w:lang w:eastAsia="zh-CN"/>
        </w:rPr>
        <w:t>将</w:t>
      </w:r>
      <w:r>
        <w:rPr>
          <w:rFonts w:ascii="Times New Roman" w:hAnsi="Times New Roman" w:eastAsia="仿宋_GB2312" w:cs="Times New Roman"/>
          <w:sz w:val="32"/>
          <w:szCs w:val="32"/>
          <w:lang w:eastAsia="zh-CN"/>
        </w:rPr>
        <w:t>集体被征地农民养老保障资金存入“收缴被征地农民养老保障资金过渡户”，费用合计</w:t>
      </w:r>
      <w:r>
        <w:rPr>
          <w:rFonts w:hint="eastAsia" w:ascii="Times New Roman" w:hAnsi="Times New Roman" w:eastAsia="仿宋_GB2312" w:cs="Times New Roman"/>
          <w:sz w:val="32"/>
          <w:szCs w:val="32"/>
          <w:lang w:eastAsia="zh-CN"/>
        </w:rPr>
        <w:t>70.03</w:t>
      </w:r>
      <w:r>
        <w:rPr>
          <w:rFonts w:ascii="Times New Roman" w:hAnsi="Times New Roman" w:eastAsia="仿宋_GB2312" w:cs="Times New Roman"/>
          <w:sz w:val="32"/>
          <w:szCs w:val="32"/>
          <w:lang w:eastAsia="zh-CN"/>
        </w:rPr>
        <w:t>万元，专款用于被征地农民缴纳养老保险费用。征地批准文件批复的实际范围有变化的，费用将做相应调整。</w:t>
      </w:r>
    </w:p>
    <w:p>
      <w:pPr>
        <w:pStyle w:val="4"/>
        <w:spacing w:before="0" w:line="520" w:lineRule="exact"/>
        <w:ind w:left="0" w:right="260"/>
        <w:jc w:val="right"/>
        <w:rPr>
          <w:rFonts w:ascii="仿宋_GB2312" w:hAnsi="仿宋_GB2312" w:eastAsia="仿宋_GB2312" w:cs="仿宋_GB2312"/>
          <w:lang w:eastAsia="zh-CN"/>
        </w:rPr>
      </w:pPr>
    </w:p>
    <w:p>
      <w:pPr>
        <w:pStyle w:val="4"/>
        <w:spacing w:before="0" w:line="520" w:lineRule="exact"/>
        <w:ind w:left="0" w:right="260"/>
        <w:jc w:val="right"/>
        <w:rPr>
          <w:rFonts w:ascii="仿宋_GB2312" w:hAnsi="仿宋_GB2312" w:eastAsia="仿宋_GB2312" w:cs="仿宋_GB2312"/>
          <w:lang w:eastAsia="zh-CN"/>
        </w:rPr>
      </w:pPr>
    </w:p>
    <w:p>
      <w:pPr>
        <w:pStyle w:val="4"/>
        <w:spacing w:before="0" w:line="520" w:lineRule="exact"/>
        <w:ind w:left="0" w:right="260"/>
        <w:jc w:val="right"/>
        <w:rPr>
          <w:rFonts w:hint="eastAsia" w:ascii="仿宋_GB2312" w:hAnsi="仿宋_GB2312" w:eastAsia="仿宋_GB2312" w:cs="仿宋_GB2312"/>
          <w:lang w:eastAsia="zh-CN"/>
        </w:rPr>
      </w:pPr>
      <w:bookmarkStart w:id="0" w:name="_GoBack"/>
      <w:bookmarkEnd w:id="0"/>
    </w:p>
    <w:p>
      <w:pPr>
        <w:pStyle w:val="4"/>
        <w:spacing w:before="0" w:line="520" w:lineRule="exact"/>
        <w:ind w:left="0" w:right="260"/>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pPr>
        <w:pStyle w:val="4"/>
        <w:spacing w:line="520" w:lineRule="exact"/>
        <w:ind w:left="0" w:right="260"/>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eastAsia="zh-CN"/>
        </w:rPr>
        <w:t>4</w:t>
      </w:r>
      <w:r>
        <w:rPr>
          <w:rFonts w:ascii="Times New Roman" w:hAnsi="Times New Roman" w:eastAsia="仿宋_GB2312" w:cs="Times New Roman"/>
        </w:rPr>
        <w:t>年</w:t>
      </w:r>
      <w:r>
        <w:rPr>
          <w:rFonts w:hint="eastAsia" w:ascii="Times New Roman" w:hAnsi="Times New Roman" w:eastAsia="仿宋_GB2312" w:cs="Times New Roman"/>
          <w:spacing w:val="-37"/>
          <w:lang w:eastAsia="zh-CN"/>
        </w:rPr>
        <w:t>4</w:t>
      </w:r>
      <w:r>
        <w:rPr>
          <w:rFonts w:ascii="Times New Roman" w:hAnsi="Times New Roman" w:eastAsia="仿宋_GB2312" w:cs="Times New Roman"/>
        </w:rPr>
        <w:t>月</w:t>
      </w:r>
      <w:r>
        <w:rPr>
          <w:rFonts w:hint="default" w:ascii="Times New Roman" w:hAnsi="Times New Roman" w:eastAsia="仿宋_GB2312" w:cs="Times New Roman"/>
          <w:spacing w:val="0"/>
          <w:lang w:eastAsia="zh-CN"/>
          <w:rPrChange w:id="0" w:author="陈湘鹏" w:date="2024-05-07T11:47:38Z">
            <w:rPr>
              <w:rFonts w:hint="eastAsia" w:ascii="Times New Roman" w:hAnsi="Times New Roman" w:eastAsia="仿宋_GB2312" w:cs="Times New Roman"/>
              <w:spacing w:val="-35"/>
              <w:lang w:eastAsia="zh-CN"/>
            </w:rPr>
          </w:rPrChange>
        </w:rPr>
        <w:t>2</w:t>
      </w:r>
      <w:del w:id="1" w:author="陈湘鹏" w:date="2024-05-07T11:47:34Z">
        <w:r>
          <w:rPr>
            <w:rFonts w:hint="default" w:ascii="Times New Roman" w:hAnsi="Times New Roman" w:eastAsia="仿宋_GB2312" w:cs="Times New Roman"/>
            <w:spacing w:val="0"/>
            <w:lang w:val="en-US" w:eastAsia="zh-CN"/>
            <w:rPrChange w:id="2" w:author="陈湘鹏" w:date="2024-05-07T11:47:38Z">
              <w:rPr>
                <w:rFonts w:hint="default" w:ascii="Times New Roman" w:hAnsi="Times New Roman" w:eastAsia="仿宋_GB2312" w:cs="Times New Roman"/>
                <w:spacing w:val="-35"/>
                <w:lang w:val="en-US" w:eastAsia="zh-CN"/>
              </w:rPr>
            </w:rPrChange>
          </w:rPr>
          <w:delText>3</w:delText>
        </w:r>
      </w:del>
      <w:ins w:id="4" w:author="陈湘鹏" w:date="2024-05-07T11:47:34Z">
        <w:r>
          <w:rPr>
            <w:rFonts w:hint="default" w:ascii="Times New Roman" w:hAnsi="Times New Roman" w:eastAsia="仿宋_GB2312" w:cs="Times New Roman"/>
            <w:spacing w:val="0"/>
            <w:lang w:val="en-US" w:eastAsia="zh-CN"/>
            <w:rPrChange w:id="5" w:author="陈湘鹏" w:date="2024-05-07T11:47:38Z">
              <w:rPr>
                <w:rFonts w:hint="eastAsia" w:ascii="Times New Roman" w:hAnsi="Times New Roman" w:eastAsia="仿宋_GB2312" w:cs="Times New Roman"/>
                <w:spacing w:val="-35"/>
                <w:lang w:val="en-US" w:eastAsia="zh-CN"/>
              </w:rPr>
            </w:rPrChange>
          </w:rPr>
          <w:t>4</w:t>
        </w:r>
      </w:ins>
      <w:r>
        <w:rPr>
          <w:rFonts w:ascii="Times New Roman" w:hAnsi="Times New Roman" w:eastAsia="仿宋_GB2312" w:cs="Times New Roman"/>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18030">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dobe 黑体 Std R">
    <w:panose1 w:val="020B0400000000000000"/>
    <w:charset w:val="80"/>
    <w:family w:val="swiss"/>
    <w:pitch w:val="default"/>
    <w:sig w:usb0="00000001" w:usb1="0A0F181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A9520B"/>
    <w:rsid w:val="00172995"/>
    <w:rsid w:val="005345D2"/>
    <w:rsid w:val="005518DE"/>
    <w:rsid w:val="0092055B"/>
    <w:rsid w:val="00A9520B"/>
    <w:rsid w:val="00AC3B33"/>
    <w:rsid w:val="00AF3BE9"/>
    <w:rsid w:val="00DA49F0"/>
    <w:rsid w:val="022A33E1"/>
    <w:rsid w:val="04654DC4"/>
    <w:rsid w:val="0822151D"/>
    <w:rsid w:val="08682950"/>
    <w:rsid w:val="08D87341"/>
    <w:rsid w:val="0BC12118"/>
    <w:rsid w:val="0C890300"/>
    <w:rsid w:val="0D630F89"/>
    <w:rsid w:val="161B7A15"/>
    <w:rsid w:val="162B00EE"/>
    <w:rsid w:val="16E50DE0"/>
    <w:rsid w:val="19977D8A"/>
    <w:rsid w:val="219E39B8"/>
    <w:rsid w:val="25477C36"/>
    <w:rsid w:val="29C73F17"/>
    <w:rsid w:val="2BE439BC"/>
    <w:rsid w:val="2F2F33BB"/>
    <w:rsid w:val="33085EB0"/>
    <w:rsid w:val="34394804"/>
    <w:rsid w:val="34CC172C"/>
    <w:rsid w:val="39A42B0C"/>
    <w:rsid w:val="3B8E0546"/>
    <w:rsid w:val="3D4536F5"/>
    <w:rsid w:val="44C311BC"/>
    <w:rsid w:val="46753A21"/>
    <w:rsid w:val="47EA5951"/>
    <w:rsid w:val="4FDC68BF"/>
    <w:rsid w:val="505F6CEB"/>
    <w:rsid w:val="54382FF3"/>
    <w:rsid w:val="54E02594"/>
    <w:rsid w:val="5EF369C2"/>
    <w:rsid w:val="5F7D66C9"/>
    <w:rsid w:val="63714235"/>
    <w:rsid w:val="6488303F"/>
    <w:rsid w:val="64ED2421"/>
    <w:rsid w:val="671A7149"/>
    <w:rsid w:val="6DB30687"/>
    <w:rsid w:val="6F8C3791"/>
    <w:rsid w:val="708E5910"/>
    <w:rsid w:val="747B57C1"/>
    <w:rsid w:val="75B44CF4"/>
    <w:rsid w:val="768B3F84"/>
    <w:rsid w:val="76910A96"/>
    <w:rsid w:val="78EA6370"/>
    <w:rsid w:val="7D5135A2"/>
    <w:rsid w:val="7E1D286D"/>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358</Words>
  <Characters>2041</Characters>
  <Lines>17</Lines>
  <Paragraphs>4</Paragraphs>
  <TotalTime>151</TotalTime>
  <ScaleCrop>false</ScaleCrop>
  <LinksUpToDate>false</LinksUpToDate>
  <CharactersWithSpaces>2395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dcterms:modified xsi:type="dcterms:W3CDTF">2024-05-07T03:47:40Z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2052-11.8.2.11718</vt:lpwstr>
  </property>
  <property fmtid="{D5CDD505-2E9C-101B-9397-08002B2CF9AE}" pid="6" name="ICV">
    <vt:lpwstr>4DFBAE58533245A6A3E6FCA55C54D6E1</vt:lpwstr>
  </property>
</Properties>
</file>