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ascii="方正小标宋简体" w:hAnsi="方正小标宋简体" w:eastAsia="方正小标宋简体" w:cs="方正小标宋简体"/>
          <w:color w:val="auto"/>
          <w:sz w:val="44"/>
          <w:szCs w:val="44"/>
          <w:lang w:eastAsia="zh-CN"/>
        </w:rPr>
      </w:pPr>
      <w:bookmarkStart w:id="0" w:name="_GoBack"/>
      <w:r>
        <w:rPr>
          <w:rFonts w:hint="eastAsia" w:ascii="方正小标宋简体" w:hAnsi="方正小标宋简体" w:eastAsia="方正小标宋简体" w:cs="方正小标宋简体"/>
          <w:color w:val="auto"/>
          <w:sz w:val="44"/>
          <w:szCs w:val="44"/>
          <w:lang w:eastAsia="zh-CN"/>
        </w:rPr>
        <w:t>关于广州市花都区2023年度第七十二批次城镇建设用地（新花大道〔花都大道-迎宾大道〕工程）的征地补偿安置方案</w:t>
      </w:r>
    </w:p>
    <w:p>
      <w:pPr>
        <w:spacing w:before="7"/>
        <w:rPr>
          <w:rFonts w:ascii="Adobe 黑体 Std R" w:hAnsi="Adobe 黑体 Std R" w:eastAsia="Adobe 黑体 Std R" w:cs="Adobe 黑体 Std R"/>
          <w:color w:val="auto"/>
          <w:sz w:val="34"/>
          <w:szCs w:val="34"/>
          <w:lang w:eastAsia="zh-CN"/>
        </w:rPr>
      </w:pPr>
    </w:p>
    <w:p>
      <w:pPr>
        <w:pStyle w:val="5"/>
        <w:wordWrap w:val="0"/>
        <w:spacing w:before="0" w:line="560" w:lineRule="exact"/>
        <w:ind w:left="0" w:firstLine="640" w:firstLineChars="200"/>
        <w:jc w:val="both"/>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为实施广州市</w:t>
      </w:r>
      <w:r>
        <w:rPr>
          <w:rFonts w:hint="eastAsia" w:ascii="仿宋_GB2312" w:hAnsi="仿宋_GB2312" w:eastAsia="仿宋_GB2312" w:cs="仿宋_GB2312"/>
          <w:color w:val="auto"/>
          <w:spacing w:val="-20"/>
          <w:lang w:eastAsia="zh-CN"/>
        </w:rPr>
        <w:t>花都</w:t>
      </w:r>
      <w:r>
        <w:rPr>
          <w:rFonts w:hint="eastAsia" w:ascii="仿宋_GB2312" w:hAnsi="仿宋_GB2312" w:eastAsia="仿宋_GB2312" w:cs="仿宋_GB2312"/>
          <w:color w:val="auto"/>
          <w:lang w:eastAsia="zh-CN"/>
        </w:rPr>
        <w:t>区</w:t>
      </w:r>
      <w:r>
        <w:rPr>
          <w:rFonts w:hint="eastAsia" w:ascii="仿宋_GB2312" w:hAnsi="仿宋_GB2312" w:eastAsia="仿宋_GB2312" w:cs="仿宋_GB2312"/>
          <w:color w:val="auto"/>
          <w:spacing w:val="-20"/>
          <w:lang w:eastAsia="zh-CN"/>
        </w:rPr>
        <w:t>花山</w:t>
      </w:r>
      <w:r>
        <w:rPr>
          <w:rFonts w:hint="eastAsia" w:ascii="仿宋_GB2312" w:hAnsi="仿宋_GB2312" w:eastAsia="仿宋_GB2312" w:cs="仿宋_GB2312"/>
          <w:color w:val="auto"/>
          <w:lang w:eastAsia="zh-CN"/>
        </w:rPr>
        <w:t>镇建设规划，完善城市功</w:t>
      </w:r>
      <w:r>
        <w:rPr>
          <w:rFonts w:hint="eastAsia" w:ascii="仿宋_GB2312" w:hAnsi="仿宋_GB2312" w:eastAsia="仿宋_GB2312" w:cs="仿宋_GB2312"/>
          <w:color w:val="auto"/>
          <w:spacing w:val="6"/>
          <w:lang w:eastAsia="zh-CN"/>
        </w:rPr>
        <w:t>能，改善城市环境，促进经济、文化发展，广州市花都</w:t>
      </w:r>
      <w:r>
        <w:rPr>
          <w:rFonts w:hint="eastAsia" w:ascii="仿宋_GB2312" w:hAnsi="仿宋_GB2312" w:eastAsia="仿宋_GB2312" w:cs="仿宋_GB2312"/>
          <w:color w:val="auto"/>
          <w:spacing w:val="3"/>
          <w:lang w:eastAsia="zh-CN"/>
        </w:rPr>
        <w:t>区人</w:t>
      </w:r>
      <w:r>
        <w:rPr>
          <w:rFonts w:hint="eastAsia" w:ascii="仿宋_GB2312" w:hAnsi="仿宋_GB2312" w:eastAsia="仿宋_GB2312" w:cs="仿宋_GB2312"/>
          <w:color w:val="auto"/>
          <w:spacing w:val="5"/>
          <w:lang w:eastAsia="zh-CN"/>
        </w:rPr>
        <w:t>民政府拟征收该区花山镇平山村东村经济合作社、平山村上村经济合作社、平山村下村经济合作社、小㘵村经济联合社</w:t>
      </w:r>
      <w:r>
        <w:rPr>
          <w:rFonts w:hint="eastAsia" w:ascii="仿宋_GB2312" w:hAnsi="仿宋_GB2312" w:eastAsia="仿宋_GB2312" w:cs="仿宋_GB2312"/>
          <w:color w:val="auto"/>
          <w:spacing w:val="6"/>
          <w:lang w:eastAsia="zh-CN"/>
        </w:rPr>
        <w:t>属</w:t>
      </w:r>
      <w:r>
        <w:rPr>
          <w:rFonts w:hint="eastAsia" w:ascii="仿宋_GB2312" w:hAnsi="仿宋_GB2312" w:eastAsia="仿宋_GB2312" w:cs="仿宋_GB2312"/>
          <w:color w:val="auto"/>
          <w:lang w:eastAsia="zh-CN"/>
        </w:rPr>
        <w:t>下的集体土地</w:t>
      </w:r>
      <w:r>
        <w:rPr>
          <w:rFonts w:hint="eastAsia" w:ascii="Times New Roman" w:hAnsi="Times New Roman" w:eastAsia="仿宋_GB2312" w:cs="Times New Roman"/>
          <w:color w:val="auto"/>
          <w:lang w:eastAsia="zh-CN"/>
        </w:rPr>
        <w:t>10.5084</w:t>
      </w:r>
      <w:r>
        <w:rPr>
          <w:rFonts w:ascii="Times New Roman" w:hAnsi="Times New Roman" w:eastAsia="仿宋_GB2312" w:cs="Times New Roman"/>
          <w:color w:val="auto"/>
          <w:lang w:eastAsia="zh-CN"/>
        </w:rPr>
        <w:t>公顷</w:t>
      </w:r>
      <w:r>
        <w:rPr>
          <w:rFonts w:hint="eastAsia" w:ascii="Times New Roman" w:hAnsi="Times New Roman" w:eastAsia="仿宋_GB2312" w:cs="Times New Roman"/>
          <w:color w:val="auto"/>
          <w:lang w:eastAsia="zh-CN"/>
        </w:rPr>
        <w:t>。</w:t>
      </w:r>
      <w:r>
        <w:rPr>
          <w:rFonts w:hint="eastAsia" w:ascii="仿宋_GB2312" w:hAnsi="仿宋_GB2312" w:eastAsia="仿宋_GB2312" w:cs="仿宋_GB2312"/>
          <w:color w:val="auto"/>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color w:val="auto"/>
          <w:spacing w:val="6"/>
          <w:lang w:eastAsia="zh-CN"/>
        </w:rPr>
        <w:t>土地管理条例》第三十条等规定，结合花都</w:t>
      </w:r>
      <w:r>
        <w:rPr>
          <w:rFonts w:hint="eastAsia" w:ascii="仿宋_GB2312" w:hAnsi="仿宋_GB2312" w:eastAsia="仿宋_GB2312" w:cs="仿宋_GB2312"/>
          <w:color w:val="auto"/>
          <w:spacing w:val="5"/>
          <w:lang w:eastAsia="zh-CN"/>
        </w:rPr>
        <w:t>区的征收农用地</w:t>
      </w:r>
      <w:r>
        <w:rPr>
          <w:rFonts w:hint="eastAsia" w:ascii="仿宋_GB2312" w:hAnsi="仿宋_GB2312" w:eastAsia="仿宋_GB2312" w:cs="仿宋_GB2312"/>
          <w:color w:val="auto"/>
          <w:lang w:eastAsia="zh-CN"/>
        </w:rPr>
        <w:t>区片综合地价和实际情况，拟定了征地补偿安置方案，具体如下：</w:t>
      </w:r>
    </w:p>
    <w:p>
      <w:pPr>
        <w:pStyle w:val="5"/>
        <w:spacing w:before="0" w:line="560" w:lineRule="exact"/>
        <w:ind w:left="0" w:firstLine="640" w:firstLineChars="200"/>
        <w:jc w:val="both"/>
        <w:rPr>
          <w:rFonts w:ascii="黑体" w:hAnsi="黑体" w:eastAsia="黑体" w:cs="黑体"/>
          <w:color w:val="auto"/>
          <w:lang w:eastAsia="zh-CN"/>
        </w:rPr>
      </w:pPr>
      <w:r>
        <w:rPr>
          <w:rFonts w:hint="eastAsia" w:ascii="黑体" w:hAnsi="黑体" w:eastAsia="黑体" w:cs="黑体"/>
          <w:color w:val="auto"/>
          <w:lang w:eastAsia="zh-CN"/>
        </w:rPr>
        <w:t>一、征收范围</w:t>
      </w:r>
    </w:p>
    <w:p>
      <w:pPr>
        <w:spacing w:line="560" w:lineRule="exact"/>
        <w:ind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sz w:val="32"/>
          <w:szCs w:val="32"/>
          <w:lang w:eastAsia="zh-CN"/>
        </w:rPr>
        <w:t>拟征收土地位于广州市花都区</w:t>
      </w:r>
      <w:r>
        <w:rPr>
          <w:rFonts w:hint="eastAsia" w:ascii="Times New Roman" w:hAnsi="Times New Roman" w:eastAsia="仿宋_GB2312" w:cs="Times New Roman"/>
          <w:color w:val="auto"/>
          <w:sz w:val="32"/>
          <w:szCs w:val="32"/>
          <w:lang w:eastAsia="zh-CN"/>
        </w:rPr>
        <w:t>花山镇平山村东村经济合作社、平山村上村经济合作社、平山村下村经济合作社、小㘵村经济联合社</w:t>
      </w:r>
      <w:r>
        <w:rPr>
          <w:rFonts w:ascii="Times New Roman" w:hAnsi="Times New Roman" w:eastAsia="仿宋_GB2312" w:cs="Times New Roman"/>
          <w:color w:val="auto"/>
          <w:sz w:val="32"/>
          <w:szCs w:val="32"/>
          <w:lang w:eastAsia="zh-CN"/>
        </w:rPr>
        <w:t>范围内，具体位置详见附图。</w:t>
      </w:r>
      <w:r>
        <w:rPr>
          <w:rFonts w:hint="eastAsia" w:ascii="Times New Roman" w:hAnsi="Times New Roman" w:eastAsia="仿宋_GB2312" w:cs="Times New Roman"/>
          <w:color w:val="auto"/>
          <w:sz w:val="32"/>
          <w:szCs w:val="32"/>
          <w:lang w:eastAsia="zh-CN"/>
        </w:rPr>
        <w:t>实际征收土地范围以最终批准文件为准。</w:t>
      </w:r>
    </w:p>
    <w:p>
      <w:pPr>
        <w:pStyle w:val="5"/>
        <w:spacing w:before="0" w:line="560" w:lineRule="exact"/>
        <w:ind w:left="0" w:firstLine="640" w:firstLineChars="200"/>
        <w:jc w:val="both"/>
        <w:rPr>
          <w:rFonts w:ascii="黑体" w:hAnsi="黑体" w:eastAsia="黑体" w:cs="黑体"/>
          <w:color w:val="auto"/>
          <w:lang w:eastAsia="zh-CN"/>
        </w:rPr>
      </w:pPr>
      <w:r>
        <w:rPr>
          <w:rFonts w:hint="eastAsia" w:ascii="黑体" w:hAnsi="黑体" w:eastAsia="黑体" w:cs="黑体"/>
          <w:color w:val="auto"/>
          <w:lang w:eastAsia="zh-CN"/>
        </w:rPr>
        <w:t>二、征收目的</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根据《中华人民共和国土地管理法》第四十五条的规定，本次征收土地目的</w:t>
      </w:r>
      <w:r>
        <w:rPr>
          <w:rFonts w:hint="eastAsia" w:ascii="Times New Roman" w:hAnsi="Times New Roman" w:eastAsia="仿宋_GB2312" w:cs="Times New Roman"/>
          <w:color w:val="auto"/>
          <w:sz w:val="32"/>
          <w:szCs w:val="32"/>
          <w:lang w:eastAsia="zh-CN"/>
        </w:rPr>
        <w:t>为，为了公共利益的需要，由政府组织实施的能源、交通、水利、通信、邮政等基础设施建设需要用地。</w:t>
      </w:r>
    </w:p>
    <w:p>
      <w:pPr>
        <w:pStyle w:val="5"/>
        <w:spacing w:before="0" w:line="560" w:lineRule="exact"/>
        <w:ind w:left="0" w:firstLine="640" w:firstLineChars="200"/>
        <w:jc w:val="both"/>
        <w:rPr>
          <w:rFonts w:ascii="黑体" w:hAnsi="黑体" w:eastAsia="黑体" w:cs="黑体"/>
          <w:color w:val="auto"/>
          <w:lang w:eastAsia="zh-CN"/>
        </w:rPr>
      </w:pPr>
      <w:r>
        <w:rPr>
          <w:rFonts w:hint="eastAsia" w:ascii="黑体" w:hAnsi="黑体" w:eastAsia="黑体" w:cs="黑体"/>
          <w:color w:val="auto"/>
          <w:lang w:eastAsia="zh-CN"/>
        </w:rPr>
        <w:t>三、土地现状</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根据拟征收土地现状调查结果，拟征收土地现状为：</w:t>
      </w:r>
    </w:p>
    <w:p>
      <w:pPr>
        <w:spacing w:line="560" w:lineRule="exact"/>
        <w:ind w:firstLine="640" w:firstLineChars="200"/>
        <w:jc w:val="both"/>
        <w:rPr>
          <w:color w:val="auto"/>
          <w:lang w:eastAsia="zh-CN"/>
        </w:rPr>
      </w:pPr>
      <w:r>
        <w:rPr>
          <w:rFonts w:hint="eastAsia" w:ascii="Times New Roman" w:hAnsi="Times New Roman" w:eastAsia="仿宋_GB2312" w:cs="Times New Roman"/>
          <w:color w:val="auto"/>
          <w:sz w:val="32"/>
          <w:szCs w:val="32"/>
          <w:lang w:eastAsia="zh-CN"/>
        </w:rPr>
        <w:t>（一）</w:t>
      </w:r>
      <w:r>
        <w:rPr>
          <w:rFonts w:ascii="Times New Roman" w:hAnsi="Times New Roman" w:eastAsia="仿宋_GB2312" w:cs="Times New Roman"/>
          <w:color w:val="auto"/>
          <w:sz w:val="32"/>
          <w:szCs w:val="32"/>
          <w:lang w:eastAsia="zh-CN"/>
        </w:rPr>
        <w:t>拟征收</w:t>
      </w:r>
      <w:r>
        <w:rPr>
          <w:rFonts w:hint="eastAsia" w:ascii="Times New Roman" w:hAnsi="Times New Roman" w:eastAsia="仿宋_GB2312" w:cs="Times New Roman"/>
          <w:color w:val="auto"/>
          <w:sz w:val="32"/>
          <w:szCs w:val="32"/>
          <w:lang w:eastAsia="zh-CN"/>
        </w:rPr>
        <w:t>花山镇平山村东村经济合作社、上村经济合作社、下村经济合作社</w:t>
      </w:r>
      <w:r>
        <w:rPr>
          <w:rFonts w:ascii="Times New Roman" w:hAnsi="Times New Roman" w:eastAsia="仿宋_GB2312" w:cs="Times New Roman"/>
          <w:color w:val="auto"/>
          <w:sz w:val="32"/>
          <w:szCs w:val="32"/>
          <w:lang w:eastAsia="zh-CN"/>
        </w:rPr>
        <w:t>属下的集体所有土地</w:t>
      </w:r>
      <w:r>
        <w:rPr>
          <w:rFonts w:hint="eastAsia" w:ascii="Times New Roman" w:hAnsi="Times New Roman" w:eastAsia="仿宋_GB2312" w:cs="Times New Roman"/>
          <w:color w:val="auto"/>
          <w:sz w:val="32"/>
          <w:szCs w:val="32"/>
          <w:lang w:eastAsia="zh-CN"/>
        </w:rPr>
        <w:t>10.4670</w:t>
      </w:r>
      <w:r>
        <w:rPr>
          <w:rFonts w:ascii="Times New Roman" w:hAnsi="Times New Roman" w:eastAsia="仿宋_GB2312" w:cs="Times New Roman"/>
          <w:color w:val="auto"/>
          <w:sz w:val="32"/>
          <w:szCs w:val="32"/>
          <w:lang w:eastAsia="zh-CN"/>
        </w:rPr>
        <w:t>公顷（</w:t>
      </w:r>
      <w:r>
        <w:rPr>
          <w:rFonts w:hint="eastAsia" w:ascii="Times New Roman" w:hAnsi="Times New Roman" w:eastAsia="仿宋_GB2312" w:cs="Times New Roman"/>
          <w:color w:val="auto"/>
          <w:sz w:val="32"/>
          <w:szCs w:val="32"/>
          <w:lang w:eastAsia="zh-CN"/>
        </w:rPr>
        <w:t>157.0050</w:t>
      </w:r>
      <w:r>
        <w:rPr>
          <w:rFonts w:ascii="Times New Roman" w:hAnsi="Times New Roman" w:eastAsia="仿宋_GB2312" w:cs="Times New Roman"/>
          <w:color w:val="auto"/>
          <w:sz w:val="32"/>
          <w:szCs w:val="32"/>
          <w:lang w:eastAsia="zh-CN"/>
        </w:rPr>
        <w:t>亩）。其中农用地</w:t>
      </w:r>
      <w:r>
        <w:rPr>
          <w:rFonts w:hint="eastAsia" w:ascii="Times New Roman" w:hAnsi="Times New Roman" w:eastAsia="仿宋_GB2312" w:cs="Times New Roman"/>
          <w:color w:val="auto"/>
          <w:sz w:val="32"/>
          <w:szCs w:val="32"/>
          <w:lang w:eastAsia="zh-CN"/>
        </w:rPr>
        <w:t>9.7331</w:t>
      </w:r>
      <w:r>
        <w:rPr>
          <w:rFonts w:ascii="Times New Roman" w:hAnsi="Times New Roman" w:eastAsia="仿宋_GB2312" w:cs="Times New Roman"/>
          <w:color w:val="auto"/>
          <w:sz w:val="32"/>
          <w:szCs w:val="32"/>
          <w:lang w:eastAsia="zh-CN"/>
        </w:rPr>
        <w:t>公顷（</w:t>
      </w:r>
      <w:r>
        <w:rPr>
          <w:rFonts w:hint="eastAsia" w:ascii="Times New Roman" w:hAnsi="Times New Roman" w:eastAsia="仿宋_GB2312" w:cs="Times New Roman"/>
          <w:color w:val="auto"/>
          <w:sz w:val="32"/>
          <w:szCs w:val="32"/>
          <w:lang w:eastAsia="zh-CN"/>
        </w:rPr>
        <w:t>145.9965</w:t>
      </w:r>
      <w:r>
        <w:rPr>
          <w:rFonts w:ascii="Times New Roman" w:hAnsi="Times New Roman" w:eastAsia="仿宋_GB2312" w:cs="Times New Roman"/>
          <w:color w:val="auto"/>
          <w:sz w:val="32"/>
          <w:szCs w:val="32"/>
          <w:lang w:eastAsia="zh-CN"/>
        </w:rPr>
        <w:t>亩），</w:t>
      </w:r>
      <w:r>
        <w:rPr>
          <w:rFonts w:hint="eastAsia" w:ascii="Times New Roman" w:hAnsi="Times New Roman" w:eastAsia="仿宋_GB2312" w:cs="Times New Roman"/>
          <w:color w:val="auto"/>
          <w:sz w:val="32"/>
          <w:szCs w:val="32"/>
          <w:lang w:eastAsia="zh-CN"/>
        </w:rPr>
        <w:t>含</w:t>
      </w:r>
      <w:r>
        <w:rPr>
          <w:rFonts w:ascii="Times New Roman" w:hAnsi="Times New Roman" w:eastAsia="仿宋_GB2312" w:cs="Times New Roman"/>
          <w:color w:val="auto"/>
          <w:sz w:val="32"/>
          <w:szCs w:val="32"/>
          <w:lang w:eastAsia="zh-CN"/>
        </w:rPr>
        <w:t>耕地</w:t>
      </w:r>
      <w:r>
        <w:rPr>
          <w:rFonts w:hint="eastAsia" w:ascii="Times New Roman" w:hAnsi="Times New Roman" w:eastAsia="仿宋_GB2312" w:cs="Times New Roman"/>
          <w:color w:val="auto"/>
          <w:sz w:val="32"/>
          <w:szCs w:val="32"/>
          <w:lang w:eastAsia="zh-CN"/>
        </w:rPr>
        <w:t>2.7406公顷（41.1090亩）</w:t>
      </w:r>
      <w:r>
        <w:rPr>
          <w:rFonts w:ascii="Times New Roman" w:hAnsi="Times New Roman" w:eastAsia="仿宋_GB2312" w:cs="Times New Roman"/>
          <w:color w:val="auto"/>
          <w:sz w:val="32"/>
          <w:szCs w:val="32"/>
          <w:lang w:eastAsia="zh-CN"/>
        </w:rPr>
        <w:t>；建设用地</w:t>
      </w:r>
      <w:r>
        <w:rPr>
          <w:rFonts w:hint="eastAsia" w:ascii="Times New Roman" w:hAnsi="Times New Roman" w:eastAsia="仿宋_GB2312" w:cs="Times New Roman"/>
          <w:color w:val="auto"/>
          <w:sz w:val="32"/>
          <w:szCs w:val="32"/>
          <w:lang w:eastAsia="zh-CN"/>
        </w:rPr>
        <w:t>0.7339</w:t>
      </w:r>
      <w:r>
        <w:rPr>
          <w:rFonts w:ascii="Times New Roman" w:hAnsi="Times New Roman" w:eastAsia="仿宋_GB2312" w:cs="Times New Roman"/>
          <w:color w:val="auto"/>
          <w:sz w:val="32"/>
          <w:szCs w:val="32"/>
          <w:lang w:eastAsia="zh-CN"/>
        </w:rPr>
        <w:t>公顷（</w:t>
      </w:r>
      <w:r>
        <w:rPr>
          <w:rFonts w:hint="eastAsia" w:ascii="Times New Roman" w:hAnsi="Times New Roman" w:eastAsia="仿宋_GB2312" w:cs="Times New Roman"/>
          <w:color w:val="auto"/>
          <w:sz w:val="32"/>
          <w:szCs w:val="32"/>
          <w:lang w:eastAsia="zh-CN"/>
        </w:rPr>
        <w:t>11.0085</w:t>
      </w:r>
      <w:r>
        <w:rPr>
          <w:rFonts w:ascii="Times New Roman" w:hAnsi="Times New Roman" w:eastAsia="仿宋_GB2312" w:cs="Times New Roman"/>
          <w:color w:val="auto"/>
          <w:sz w:val="32"/>
          <w:szCs w:val="32"/>
          <w:lang w:eastAsia="zh-CN"/>
        </w:rPr>
        <w:t>亩）</w:t>
      </w:r>
      <w:r>
        <w:rPr>
          <w:rFonts w:hint="eastAsia" w:ascii="Times New Roman" w:hAnsi="Times New Roman" w:eastAsia="仿宋_GB2312" w:cs="Times New Roman"/>
          <w:color w:val="auto"/>
          <w:sz w:val="32"/>
          <w:szCs w:val="32"/>
          <w:lang w:eastAsia="zh-CN"/>
        </w:rPr>
        <w:t>；不涉及未利用地</w:t>
      </w:r>
      <w:r>
        <w:rPr>
          <w:rFonts w:ascii="Times New Roman" w:hAnsi="Times New Roman" w:eastAsia="仿宋_GB2312" w:cs="Times New Roman"/>
          <w:color w:val="auto"/>
          <w:sz w:val="32"/>
          <w:szCs w:val="32"/>
          <w:lang w:eastAsia="zh-CN"/>
        </w:rPr>
        <w:t>。</w:t>
      </w:r>
    </w:p>
    <w:p>
      <w:pPr>
        <w:pStyle w:val="5"/>
        <w:spacing w:before="0" w:line="560" w:lineRule="exact"/>
        <w:ind w:left="0" w:firstLine="640" w:firstLineChars="200"/>
        <w:jc w:val="both"/>
        <w:rPr>
          <w:rFonts w:ascii="Times New Roman" w:hAnsi="Times New Roman" w:eastAsia="仿宋_GB2312" w:cs="Times New Roman"/>
          <w:color w:val="auto"/>
          <w:lang w:eastAsia="zh-CN"/>
        </w:rPr>
      </w:pPr>
      <w:r>
        <w:rPr>
          <w:rFonts w:ascii="Times New Roman" w:hAnsi="Times New Roman" w:eastAsia="仿宋_GB2312" w:cs="Times New Roman"/>
          <w:color w:val="auto"/>
          <w:lang w:eastAsia="zh-CN"/>
        </w:rPr>
        <w:t>（</w:t>
      </w:r>
      <w:r>
        <w:rPr>
          <w:rFonts w:hint="eastAsia" w:ascii="Times New Roman" w:hAnsi="Times New Roman" w:eastAsia="仿宋_GB2312" w:cs="Times New Roman"/>
          <w:color w:val="auto"/>
          <w:lang w:eastAsia="zh-CN"/>
        </w:rPr>
        <w:t>二</w:t>
      </w:r>
      <w:r>
        <w:rPr>
          <w:rFonts w:ascii="Times New Roman" w:hAnsi="Times New Roman" w:eastAsia="仿宋_GB2312" w:cs="Times New Roman"/>
          <w:color w:val="auto"/>
          <w:lang w:eastAsia="zh-CN"/>
        </w:rPr>
        <w:t>）拟征收</w:t>
      </w:r>
      <w:r>
        <w:rPr>
          <w:rFonts w:hint="eastAsia" w:ascii="Times New Roman" w:hAnsi="Times New Roman" w:eastAsia="仿宋_GB2312" w:cs="Times New Roman"/>
          <w:color w:val="auto"/>
          <w:lang w:eastAsia="zh-CN"/>
        </w:rPr>
        <w:t>花山镇小㘵村经济联合社</w:t>
      </w:r>
      <w:r>
        <w:rPr>
          <w:rFonts w:ascii="Times New Roman" w:hAnsi="Times New Roman" w:eastAsia="仿宋_GB2312" w:cs="Times New Roman"/>
          <w:color w:val="auto"/>
          <w:lang w:eastAsia="zh-CN"/>
        </w:rPr>
        <w:t>属下的集体所有土地</w:t>
      </w:r>
      <w:r>
        <w:rPr>
          <w:rFonts w:hint="eastAsia" w:ascii="Times New Roman" w:hAnsi="Times New Roman" w:eastAsia="仿宋_GB2312" w:cs="Times New Roman"/>
          <w:color w:val="auto"/>
          <w:lang w:eastAsia="zh-CN"/>
        </w:rPr>
        <w:t>0.0414</w:t>
      </w:r>
      <w:r>
        <w:rPr>
          <w:rFonts w:ascii="Times New Roman" w:hAnsi="Times New Roman" w:eastAsia="仿宋_GB2312" w:cs="Times New Roman"/>
          <w:color w:val="auto"/>
          <w:lang w:eastAsia="zh-CN"/>
        </w:rPr>
        <w:t>公顷（</w:t>
      </w:r>
      <w:r>
        <w:rPr>
          <w:rFonts w:hint="eastAsia" w:ascii="Times New Roman" w:hAnsi="Times New Roman" w:eastAsia="仿宋_GB2312" w:cs="Times New Roman"/>
          <w:color w:val="auto"/>
          <w:lang w:eastAsia="zh-CN"/>
        </w:rPr>
        <w:t>0.6210</w:t>
      </w:r>
      <w:r>
        <w:rPr>
          <w:rFonts w:ascii="Times New Roman" w:hAnsi="Times New Roman" w:eastAsia="仿宋_GB2312" w:cs="Times New Roman"/>
          <w:color w:val="auto"/>
          <w:lang w:eastAsia="zh-CN"/>
        </w:rPr>
        <w:t>亩）。其中农用地</w:t>
      </w:r>
      <w:r>
        <w:rPr>
          <w:rFonts w:hint="eastAsia" w:ascii="Times New Roman" w:hAnsi="Times New Roman" w:eastAsia="仿宋_GB2312" w:cs="Times New Roman"/>
          <w:color w:val="auto"/>
          <w:lang w:eastAsia="zh-CN"/>
        </w:rPr>
        <w:t>0.0064</w:t>
      </w:r>
      <w:r>
        <w:rPr>
          <w:rFonts w:ascii="Times New Roman" w:hAnsi="Times New Roman" w:eastAsia="仿宋_GB2312" w:cs="Times New Roman"/>
          <w:color w:val="auto"/>
          <w:lang w:eastAsia="zh-CN"/>
        </w:rPr>
        <w:t>公顷（</w:t>
      </w:r>
      <w:r>
        <w:rPr>
          <w:rFonts w:hint="eastAsia" w:ascii="Times New Roman" w:hAnsi="Times New Roman" w:eastAsia="仿宋_GB2312" w:cs="Times New Roman"/>
          <w:color w:val="auto"/>
          <w:lang w:eastAsia="zh-CN"/>
        </w:rPr>
        <w:t>0.0960</w:t>
      </w:r>
      <w:r>
        <w:rPr>
          <w:rFonts w:ascii="Times New Roman" w:hAnsi="Times New Roman" w:eastAsia="仿宋_GB2312" w:cs="Times New Roman"/>
          <w:color w:val="auto"/>
          <w:lang w:eastAsia="zh-CN"/>
        </w:rPr>
        <w:t>亩），</w:t>
      </w:r>
      <w:r>
        <w:rPr>
          <w:rFonts w:hint="eastAsia" w:ascii="Times New Roman" w:hAnsi="Times New Roman" w:eastAsia="仿宋_GB2312" w:cs="Times New Roman"/>
          <w:color w:val="auto"/>
          <w:lang w:eastAsia="zh-CN"/>
        </w:rPr>
        <w:t>不涉及</w:t>
      </w:r>
      <w:r>
        <w:rPr>
          <w:rFonts w:ascii="Times New Roman" w:hAnsi="Times New Roman" w:eastAsia="仿宋_GB2312" w:cs="Times New Roman"/>
          <w:color w:val="auto"/>
          <w:lang w:eastAsia="zh-CN"/>
        </w:rPr>
        <w:t>耕地；建设用地</w:t>
      </w:r>
      <w:r>
        <w:rPr>
          <w:rFonts w:hint="eastAsia" w:ascii="Times New Roman" w:hAnsi="Times New Roman" w:eastAsia="仿宋_GB2312" w:cs="Times New Roman"/>
          <w:color w:val="auto"/>
          <w:lang w:eastAsia="zh-CN"/>
        </w:rPr>
        <w:t>0.0350</w:t>
      </w:r>
      <w:r>
        <w:rPr>
          <w:rFonts w:ascii="Times New Roman" w:hAnsi="Times New Roman" w:eastAsia="仿宋_GB2312" w:cs="Times New Roman"/>
          <w:color w:val="auto"/>
          <w:lang w:eastAsia="zh-CN"/>
        </w:rPr>
        <w:t>公顷（</w:t>
      </w:r>
      <w:r>
        <w:rPr>
          <w:rFonts w:hint="eastAsia" w:ascii="Times New Roman" w:hAnsi="Times New Roman" w:eastAsia="仿宋_GB2312" w:cs="Times New Roman"/>
          <w:color w:val="auto"/>
          <w:lang w:eastAsia="zh-CN"/>
        </w:rPr>
        <w:t>0.5250</w:t>
      </w:r>
      <w:r>
        <w:rPr>
          <w:rFonts w:ascii="Times New Roman" w:hAnsi="Times New Roman" w:eastAsia="仿宋_GB2312" w:cs="Times New Roman"/>
          <w:color w:val="auto"/>
          <w:lang w:eastAsia="zh-CN"/>
        </w:rPr>
        <w:t>亩）</w:t>
      </w:r>
      <w:r>
        <w:rPr>
          <w:rFonts w:hint="eastAsia" w:ascii="Times New Roman" w:hAnsi="Times New Roman" w:eastAsia="仿宋_GB2312" w:cs="Times New Roman"/>
          <w:color w:val="auto"/>
          <w:lang w:eastAsia="zh-CN"/>
        </w:rPr>
        <w:t>；不涉及未利用地</w:t>
      </w:r>
      <w:r>
        <w:rPr>
          <w:rFonts w:ascii="Times New Roman" w:hAnsi="Times New Roman" w:eastAsia="仿宋_GB2312" w:cs="Times New Roman"/>
          <w:color w:val="auto"/>
          <w:lang w:eastAsia="zh-CN"/>
        </w:rPr>
        <w:t>。</w:t>
      </w:r>
    </w:p>
    <w:p>
      <w:pPr>
        <w:pStyle w:val="5"/>
        <w:spacing w:before="0" w:line="560" w:lineRule="exact"/>
        <w:ind w:left="0" w:firstLine="640" w:firstLineChars="200"/>
        <w:jc w:val="both"/>
        <w:rPr>
          <w:rFonts w:ascii="黑体" w:hAnsi="黑体" w:eastAsia="黑体" w:cs="黑体"/>
          <w:color w:val="auto"/>
          <w:lang w:eastAsia="zh-CN"/>
        </w:rPr>
      </w:pPr>
      <w:r>
        <w:rPr>
          <w:rFonts w:hint="eastAsia" w:ascii="黑体" w:hAnsi="黑体" w:eastAsia="黑体" w:cs="黑体"/>
          <w:color w:val="auto"/>
          <w:lang w:eastAsia="zh-CN"/>
        </w:rPr>
        <w:t>四、补偿方式和标准</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hint="eastAsia" w:ascii="楷体" w:hAnsi="楷体" w:eastAsia="楷体" w:cs="楷体"/>
          <w:color w:val="auto"/>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根据</w:t>
      </w:r>
      <w:r>
        <w:rPr>
          <w:rFonts w:hint="eastAsia" w:ascii="Times New Roman" w:hAnsi="Times New Roman" w:eastAsia="仿宋_GB2312" w:cs="Times New Roman"/>
          <w:color w:val="auto"/>
          <w:sz w:val="32"/>
          <w:szCs w:val="32"/>
          <w:lang w:eastAsia="zh-CN"/>
        </w:rPr>
        <w:t>《中华人民共和国土地管理法》《广东省土地管理条例》等规定，并结合</w:t>
      </w:r>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广东省自然资源厅关于</w:t>
      </w:r>
      <w:r>
        <w:rPr>
          <w:rFonts w:ascii="Times New Roman" w:hAnsi="Times New Roman" w:eastAsia="仿宋_GB2312" w:cs="Times New Roman"/>
          <w:color w:val="auto"/>
          <w:sz w:val="32"/>
          <w:szCs w:val="32"/>
          <w:lang w:eastAsia="zh-CN"/>
        </w:rPr>
        <w:t>广州</w:t>
      </w:r>
      <w:r>
        <w:rPr>
          <w:rFonts w:hint="eastAsia" w:ascii="Times New Roman" w:hAnsi="Times New Roman" w:eastAsia="仿宋_GB2312" w:cs="Times New Roman"/>
          <w:color w:val="auto"/>
          <w:sz w:val="32"/>
          <w:szCs w:val="32"/>
          <w:lang w:eastAsia="zh-CN"/>
        </w:rPr>
        <w:t>市</w:t>
      </w:r>
      <w:r>
        <w:rPr>
          <w:rFonts w:ascii="Times New Roman" w:hAnsi="Times New Roman" w:eastAsia="仿宋_GB2312" w:cs="Times New Roman"/>
          <w:color w:val="auto"/>
          <w:sz w:val="32"/>
          <w:szCs w:val="32"/>
          <w:lang w:eastAsia="zh-CN"/>
        </w:rPr>
        <w:t>征收农用地区片综合地价</w:t>
      </w:r>
      <w:r>
        <w:rPr>
          <w:rFonts w:hint="eastAsia" w:ascii="Times New Roman" w:hAnsi="Times New Roman" w:eastAsia="仿宋_GB2312" w:cs="Times New Roman"/>
          <w:color w:val="auto"/>
          <w:sz w:val="32"/>
          <w:szCs w:val="32"/>
          <w:lang w:eastAsia="zh-CN"/>
        </w:rPr>
        <w:t>成果的批复</w:t>
      </w:r>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（粤自然资函〔2024〕103号）</w:t>
      </w:r>
      <w:r>
        <w:rPr>
          <w:rFonts w:ascii="Times New Roman" w:hAnsi="Times New Roman" w:eastAsia="仿宋_GB2312" w:cs="Times New Roman"/>
          <w:color w:val="auto"/>
          <w:sz w:val="32"/>
          <w:szCs w:val="32"/>
          <w:lang w:eastAsia="zh-CN"/>
        </w:rPr>
        <w:t>的规定，</w:t>
      </w:r>
      <w:r>
        <w:rPr>
          <w:rFonts w:hint="eastAsia" w:ascii="Times New Roman" w:hAnsi="Times New Roman" w:eastAsia="仿宋_GB2312" w:cs="Times New Roman"/>
          <w:color w:val="auto"/>
          <w:sz w:val="32"/>
          <w:szCs w:val="32"/>
          <w:lang w:eastAsia="zh-CN"/>
        </w:rPr>
        <w:t>农用地的土地补偿标准为</w:t>
      </w:r>
      <w:r>
        <w:rPr>
          <w:rFonts w:ascii="Times New Roman" w:hAnsi="Times New Roman" w:eastAsia="仿宋_GB2312" w:cs="Times New Roman"/>
          <w:color w:val="auto"/>
          <w:sz w:val="32"/>
          <w:szCs w:val="32"/>
          <w:lang w:eastAsia="zh-CN"/>
        </w:rPr>
        <w:t>120</w:t>
      </w:r>
      <w:r>
        <w:rPr>
          <w:rFonts w:hint="eastAsia" w:ascii="Times New Roman" w:hAnsi="Times New Roman" w:eastAsia="仿宋_GB2312" w:cs="Times New Roman"/>
          <w:color w:val="auto"/>
          <w:sz w:val="32"/>
          <w:szCs w:val="32"/>
          <w:lang w:eastAsia="zh-CN"/>
        </w:rPr>
        <w:t>万元/公顷，安置补助标准为</w:t>
      </w:r>
      <w:r>
        <w:rPr>
          <w:rFonts w:ascii="Times New Roman" w:hAnsi="Times New Roman" w:eastAsia="仿宋_GB2312" w:cs="Times New Roman"/>
          <w:color w:val="auto"/>
          <w:sz w:val="32"/>
          <w:szCs w:val="32"/>
          <w:lang w:eastAsia="zh-CN"/>
        </w:rPr>
        <w:t>120</w:t>
      </w:r>
      <w:r>
        <w:rPr>
          <w:rFonts w:hint="eastAsia" w:ascii="Times New Roman" w:hAnsi="Times New Roman" w:eastAsia="仿宋_GB2312" w:cs="Times New Roman"/>
          <w:color w:val="auto"/>
          <w:sz w:val="32"/>
          <w:szCs w:val="32"/>
          <w:lang w:eastAsia="zh-CN"/>
        </w:rPr>
        <w:t>万元/公顷，建设用地和未利用地的土地补偿标准为</w:t>
      </w:r>
      <w:r>
        <w:rPr>
          <w:rFonts w:ascii="Times New Roman" w:hAnsi="Times New Roman" w:eastAsia="仿宋_GB2312" w:cs="Times New Roman"/>
          <w:color w:val="auto"/>
          <w:sz w:val="32"/>
          <w:szCs w:val="32"/>
          <w:lang w:eastAsia="zh-CN"/>
        </w:rPr>
        <w:t>240</w:t>
      </w:r>
      <w:r>
        <w:rPr>
          <w:rFonts w:hint="eastAsia" w:ascii="Times New Roman" w:hAnsi="Times New Roman" w:eastAsia="仿宋_GB2312" w:cs="Times New Roman"/>
          <w:color w:val="auto"/>
          <w:sz w:val="32"/>
          <w:szCs w:val="32"/>
          <w:lang w:eastAsia="zh-CN"/>
        </w:rPr>
        <w:t>万元/公顷。</w:t>
      </w:r>
    </w:p>
    <w:p>
      <w:pPr>
        <w:spacing w:line="560" w:lineRule="exact"/>
        <w:ind w:firstLine="640" w:firstLineChars="200"/>
        <w:jc w:val="both"/>
        <w:rPr>
          <w:rFonts w:ascii="楷体" w:hAnsi="楷体" w:eastAsia="楷体" w:cs="楷体"/>
          <w:color w:val="auto"/>
          <w:sz w:val="32"/>
          <w:szCs w:val="32"/>
          <w:lang w:eastAsia="zh-CN"/>
        </w:rPr>
      </w:pPr>
      <w:r>
        <w:rPr>
          <w:rFonts w:ascii="楷体" w:hAnsi="楷体" w:eastAsia="楷体" w:cs="楷体"/>
          <w:color w:val="auto"/>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bCs/>
          <w:color w:val="auto"/>
          <w:kern w:val="2"/>
          <w:sz w:val="32"/>
          <w:szCs w:val="32"/>
          <w:lang w:eastAsia="zh-CN"/>
        </w:rPr>
        <w:t>本次征地不涉及农村村民住宅补偿。</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楷体" w:hAnsi="楷体" w:eastAsia="楷体" w:cs="楷体"/>
          <w:color w:val="auto"/>
          <w:sz w:val="32"/>
          <w:szCs w:val="32"/>
          <w:lang w:eastAsia="zh-CN"/>
        </w:rPr>
        <w:t>（</w:t>
      </w:r>
      <w:r>
        <w:rPr>
          <w:rFonts w:hint="eastAsia" w:ascii="楷体" w:hAnsi="楷体" w:eastAsia="楷体" w:cs="楷体"/>
          <w:color w:val="auto"/>
          <w:sz w:val="32"/>
          <w:szCs w:val="32"/>
          <w:lang w:eastAsia="zh-CN"/>
        </w:rPr>
        <w:t>三</w:t>
      </w:r>
      <w:r>
        <w:rPr>
          <w:rFonts w:ascii="楷体" w:hAnsi="楷体" w:eastAsia="楷体" w:cs="楷体"/>
          <w:color w:val="auto"/>
          <w:sz w:val="32"/>
          <w:szCs w:val="32"/>
          <w:lang w:eastAsia="zh-CN"/>
        </w:rPr>
        <w:t>）</w:t>
      </w:r>
      <w:r>
        <w:rPr>
          <w:rFonts w:hint="eastAsia" w:ascii="楷体" w:hAnsi="楷体" w:eastAsia="楷体" w:cs="楷体"/>
          <w:color w:val="auto"/>
          <w:sz w:val="32"/>
          <w:szCs w:val="32"/>
          <w:lang w:eastAsia="zh-CN"/>
        </w:rPr>
        <w:t>青苗及其他地上附着物补偿</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青苗及其他地上附着物补偿</w:t>
      </w:r>
      <w:r>
        <w:rPr>
          <w:rFonts w:hint="eastAsia" w:ascii="Times New Roman" w:hAnsi="Times New Roman" w:eastAsia="仿宋_GB2312" w:cs="Times New Roman"/>
          <w:color w:val="auto"/>
          <w:sz w:val="32"/>
          <w:szCs w:val="32"/>
          <w:lang w:eastAsia="zh-CN"/>
        </w:rPr>
        <w:t>参照</w:t>
      </w:r>
      <w:r>
        <w:rPr>
          <w:rFonts w:ascii="Times New Roman" w:hAnsi="Times New Roman" w:eastAsia="仿宋_GB2312" w:cs="Times New Roman"/>
          <w:color w:val="auto"/>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color w:val="auto"/>
          <w:sz w:val="32"/>
          <w:szCs w:val="32"/>
          <w:lang w:eastAsia="zh-CN"/>
        </w:rPr>
        <w:t>的规定执行</w:t>
      </w:r>
      <w:r>
        <w:rPr>
          <w:rFonts w:ascii="Times New Roman" w:hAnsi="Times New Roman" w:eastAsia="仿宋_GB2312" w:cs="Times New Roman"/>
          <w:color w:val="auto"/>
          <w:sz w:val="32"/>
          <w:szCs w:val="32"/>
          <w:lang w:eastAsia="zh-CN"/>
        </w:rPr>
        <w:t>。</w:t>
      </w:r>
    </w:p>
    <w:p>
      <w:pPr>
        <w:pStyle w:val="5"/>
        <w:spacing w:before="0" w:line="560" w:lineRule="exact"/>
        <w:ind w:left="0" w:firstLine="640" w:firstLineChars="200"/>
        <w:jc w:val="both"/>
        <w:rPr>
          <w:rFonts w:ascii="黑体" w:hAnsi="黑体" w:eastAsia="黑体" w:cs="黑体"/>
          <w:color w:val="auto"/>
          <w:lang w:eastAsia="zh-CN"/>
        </w:rPr>
      </w:pPr>
      <w:r>
        <w:rPr>
          <w:rFonts w:hint="eastAsia" w:ascii="黑体" w:hAnsi="黑体" w:eastAsia="黑体" w:cs="黑体"/>
          <w:color w:val="auto"/>
          <w:lang w:eastAsia="zh-CN"/>
        </w:rPr>
        <w:t>五、安置对象</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color w:val="auto"/>
          <w:sz w:val="32"/>
          <w:szCs w:val="32"/>
          <w:lang w:eastAsia="zh-CN"/>
        </w:rPr>
        <w:t>保</w:t>
      </w:r>
      <w:r>
        <w:rPr>
          <w:rFonts w:ascii="Times New Roman" w:hAnsi="Times New Roman" w:eastAsia="仿宋_GB2312" w:cs="Times New Roman"/>
          <w:color w:val="auto"/>
          <w:sz w:val="32"/>
          <w:szCs w:val="32"/>
          <w:lang w:eastAsia="zh-CN"/>
        </w:rPr>
        <w:t>障。安置补助费由区人民政府按规定支付给土地所有权人，由农村财务管理部门按照省、市农村集体资产管理相关规定管理和使用。</w:t>
      </w:r>
    </w:p>
    <w:p>
      <w:pPr>
        <w:pStyle w:val="5"/>
        <w:spacing w:before="0" w:line="560" w:lineRule="exact"/>
        <w:ind w:left="0" w:firstLine="640" w:firstLineChars="200"/>
        <w:jc w:val="both"/>
        <w:rPr>
          <w:rFonts w:ascii="黑体" w:hAnsi="黑体" w:eastAsia="黑体" w:cs="黑体"/>
          <w:color w:val="auto"/>
          <w:lang w:eastAsia="zh-CN"/>
        </w:rPr>
      </w:pPr>
      <w:r>
        <w:rPr>
          <w:rFonts w:hint="eastAsia" w:ascii="黑体" w:hAnsi="黑体" w:eastAsia="黑体" w:cs="黑体"/>
          <w:color w:val="auto"/>
          <w:lang w:eastAsia="zh-CN"/>
        </w:rPr>
        <w:t>六、安置方式和社会保障</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（二）留用地安置。根据《印发广东省征收农村集体土地留用地管理办法（试行）的通知</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（粤府办〔2009〕41号）、《广东省人民政府办公厅关于加强征收农村集体土地留用地安置管理工作的意见》（粤府办〔2016〕30号）相关规定，按实际征收土地面积的10%安排留用地，留用地兑现方式为实物留地。</w:t>
      </w:r>
    </w:p>
    <w:p>
      <w:pPr>
        <w:spacing w:line="560" w:lineRule="exact"/>
        <w:ind w:firstLine="640" w:firstLineChars="200"/>
        <w:jc w:val="both"/>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仿宋_GB2312" w:hAnsi="仿宋_GB2312" w:eastAsia="仿宋_GB2312" w:cs="仿宋_GB2312"/>
          <w:color w:val="auto"/>
          <w:sz w:val="32"/>
          <w:szCs w:val="32"/>
          <w:lang w:eastAsia="zh-CN"/>
        </w:rPr>
        <w:t>核定该项目</w:t>
      </w:r>
      <w:r>
        <w:rPr>
          <w:rFonts w:hint="eastAsia" w:ascii="Times New Roman" w:hAnsi="Times New Roman" w:eastAsia="仿宋_GB2312" w:cs="Times New Roman"/>
          <w:color w:val="auto"/>
          <w:sz w:val="32"/>
          <w:szCs w:val="32"/>
          <w:lang w:eastAsia="zh-CN"/>
        </w:rPr>
        <w:t>按2.14</w:t>
      </w:r>
      <w:r>
        <w:rPr>
          <w:rFonts w:hint="eastAsia" w:ascii="仿宋_GB2312" w:hAnsi="仿宋_GB2312" w:eastAsia="仿宋_GB2312" w:cs="仿宋_GB2312"/>
          <w:color w:val="auto"/>
          <w:sz w:val="32"/>
          <w:szCs w:val="32"/>
          <w:lang w:eastAsia="zh-CN"/>
        </w:rPr>
        <w:t>万元/亩的标准</w:t>
      </w:r>
      <w:r>
        <w:rPr>
          <w:rFonts w:ascii="Times New Roman" w:hAnsi="Times New Roman" w:eastAsia="仿宋_GB2312" w:cs="Times New Roman"/>
          <w:color w:val="auto"/>
          <w:sz w:val="32"/>
          <w:szCs w:val="32"/>
          <w:lang w:eastAsia="zh-CN"/>
        </w:rPr>
        <w:t>一次性</w:t>
      </w:r>
      <w:r>
        <w:rPr>
          <w:rFonts w:hint="eastAsia" w:ascii="Times New Roman" w:hAnsi="Times New Roman" w:eastAsia="仿宋_GB2312" w:cs="Times New Roman"/>
          <w:color w:val="auto"/>
          <w:sz w:val="32"/>
          <w:szCs w:val="32"/>
          <w:lang w:eastAsia="zh-CN"/>
        </w:rPr>
        <w:t>将</w:t>
      </w:r>
      <w:r>
        <w:rPr>
          <w:rFonts w:ascii="Times New Roman" w:hAnsi="Times New Roman" w:eastAsia="仿宋_GB2312" w:cs="Times New Roman"/>
          <w:color w:val="auto"/>
          <w:sz w:val="32"/>
          <w:szCs w:val="32"/>
          <w:lang w:eastAsia="zh-CN"/>
        </w:rPr>
        <w:t>集体被征地农民养老保障资金存入“收缴被征地农民养老保障资金过渡户”，费用合计</w:t>
      </w:r>
      <w:r>
        <w:rPr>
          <w:rFonts w:hint="eastAsia" w:ascii="Times New Roman" w:hAnsi="Times New Roman" w:eastAsia="仿宋_GB2312" w:cs="Times New Roman"/>
          <w:color w:val="auto"/>
          <w:sz w:val="32"/>
          <w:szCs w:val="32"/>
          <w:lang w:eastAsia="zh-CN"/>
        </w:rPr>
        <w:t>337.3400</w:t>
      </w:r>
      <w:r>
        <w:rPr>
          <w:rFonts w:ascii="Times New Roman" w:hAnsi="Times New Roman" w:eastAsia="仿宋_GB2312" w:cs="Times New Roman"/>
          <w:color w:val="auto"/>
          <w:sz w:val="32"/>
          <w:szCs w:val="32"/>
          <w:lang w:eastAsia="zh-CN"/>
        </w:rPr>
        <w:t>万元，专款用于被征地农民缴纳养老保险费用。征地批准文件批复的实际范围有变化的，费用将做相应调整。</w:t>
      </w:r>
    </w:p>
    <w:p>
      <w:pPr>
        <w:pStyle w:val="5"/>
        <w:spacing w:before="10" w:line="256" w:lineRule="auto"/>
        <w:ind w:left="0" w:right="111"/>
        <w:jc w:val="both"/>
        <w:rPr>
          <w:rFonts w:ascii="仿宋_GB2312" w:hAnsi="仿宋_GB2312" w:eastAsia="仿宋_GB2312" w:cs="仿宋_GB2312"/>
          <w:color w:val="auto"/>
          <w:lang w:eastAsia="zh-CN"/>
        </w:rPr>
      </w:pPr>
    </w:p>
    <w:p>
      <w:pPr>
        <w:pStyle w:val="5"/>
        <w:spacing w:before="0" w:line="437" w:lineRule="exact"/>
        <w:ind w:left="0" w:right="260"/>
        <w:jc w:val="right"/>
        <w:rPr>
          <w:rFonts w:ascii="仿宋_GB2312" w:hAnsi="仿宋_GB2312" w:eastAsia="仿宋_GB2312" w:cs="仿宋_GB2312"/>
          <w:color w:val="auto"/>
          <w:lang w:eastAsia="zh-CN"/>
        </w:rPr>
      </w:pPr>
    </w:p>
    <w:p>
      <w:pPr>
        <w:pStyle w:val="5"/>
        <w:spacing w:before="0" w:line="437" w:lineRule="exact"/>
        <w:ind w:left="0" w:right="260"/>
        <w:jc w:val="right"/>
        <w:rPr>
          <w:rFonts w:ascii="仿宋_GB2312" w:hAnsi="仿宋_GB2312" w:eastAsia="仿宋_GB2312" w:cs="仿宋_GB2312"/>
          <w:color w:val="auto"/>
          <w:lang w:eastAsia="zh-CN"/>
        </w:rPr>
      </w:pPr>
    </w:p>
    <w:p>
      <w:pPr>
        <w:pStyle w:val="5"/>
        <w:spacing w:before="0" w:line="437" w:lineRule="exact"/>
        <w:ind w:left="0" w:right="260"/>
        <w:jc w:val="right"/>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广州市规划和自然资源局花都区分局</w:t>
      </w:r>
    </w:p>
    <w:p>
      <w:pPr>
        <w:pStyle w:val="5"/>
        <w:ind w:left="0" w:right="260"/>
        <w:jc w:val="center"/>
        <w:rPr>
          <w:rFonts w:ascii="Times New Roman" w:hAnsi="Times New Roman" w:eastAsia="仿宋_GB2312" w:cs="Times New Roman"/>
          <w:color w:val="auto"/>
        </w:rPr>
      </w:pPr>
      <w:r>
        <w:rPr>
          <w:rFonts w:hint="eastAsia" w:ascii="Times New Roman" w:hAnsi="Times New Roman" w:eastAsia="仿宋_GB2312" w:cs="Times New Roman"/>
          <w:color w:val="auto"/>
          <w:lang w:eastAsia="zh-CN"/>
        </w:rPr>
        <w:t xml:space="preserve">                                                </w:t>
      </w:r>
      <w:r>
        <w:rPr>
          <w:rFonts w:ascii="Times New Roman" w:hAnsi="Times New Roman" w:eastAsia="仿宋_GB2312" w:cs="Times New Roman"/>
          <w:color w:val="auto"/>
          <w:lang w:eastAsia="zh-CN"/>
        </w:rPr>
        <w:t>202</w:t>
      </w:r>
      <w:r>
        <w:rPr>
          <w:rFonts w:hint="eastAsia" w:ascii="Times New Roman" w:hAnsi="Times New Roman" w:eastAsia="仿宋_GB2312" w:cs="Times New Roman"/>
          <w:color w:val="auto"/>
          <w:lang w:eastAsia="zh-CN"/>
        </w:rPr>
        <w:t>4</w:t>
      </w:r>
      <w:r>
        <w:rPr>
          <w:rFonts w:ascii="Times New Roman" w:hAnsi="Times New Roman" w:eastAsia="仿宋_GB2312" w:cs="Times New Roman"/>
          <w:color w:val="auto"/>
        </w:rPr>
        <w:t>年</w:t>
      </w:r>
      <w:r>
        <w:rPr>
          <w:rFonts w:hint="eastAsia" w:ascii="Times New Roman" w:hAnsi="Times New Roman" w:eastAsia="仿宋_GB2312" w:cs="Times New Roman"/>
          <w:color w:val="auto"/>
          <w:lang w:eastAsia="zh-CN"/>
        </w:rPr>
        <w:t>4</w:t>
      </w:r>
      <w:r>
        <w:rPr>
          <w:rFonts w:ascii="Times New Roman" w:hAnsi="Times New Roman" w:eastAsia="仿宋_GB2312" w:cs="Times New Roman"/>
          <w:color w:val="auto"/>
        </w:rPr>
        <w:t>月</w:t>
      </w:r>
      <w:r>
        <w:rPr>
          <w:rFonts w:ascii="Times New Roman" w:hAnsi="Times New Roman" w:eastAsia="仿宋_GB2312" w:cs="Times New Roman"/>
          <w:color w:val="auto"/>
          <w:lang w:eastAsia="zh-CN"/>
        </w:rPr>
        <w:t>22</w:t>
      </w:r>
      <w:r>
        <w:rPr>
          <w:rFonts w:ascii="Times New Roman" w:hAnsi="Times New Roman" w:eastAsia="仿宋_GB2312" w:cs="Times New Roman"/>
          <w:color w:val="auto"/>
        </w:rPr>
        <w:t>日</w:t>
      </w:r>
    </w:p>
    <w:bookmarkEnd w:id="0"/>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trackRevisions w:val="1"/>
  <w:documentProtection w:enforcement="0"/>
  <w:defaultTabStop w:val="720"/>
  <w:drawingGridHorizontalSpacing w:val="110"/>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jVkZDU0OTJhYThmNDRmMTI1YmQxNzU3OWEzZmM5MmQifQ=="/>
  </w:docVars>
  <w:rsids>
    <w:rsidRoot w:val="00F869B9"/>
    <w:rsid w:val="00023D1D"/>
    <w:rsid w:val="000C21D6"/>
    <w:rsid w:val="000E3907"/>
    <w:rsid w:val="0010720C"/>
    <w:rsid w:val="001D7209"/>
    <w:rsid w:val="0020273F"/>
    <w:rsid w:val="002A343D"/>
    <w:rsid w:val="00345770"/>
    <w:rsid w:val="0037606F"/>
    <w:rsid w:val="003A0CBC"/>
    <w:rsid w:val="00606DD4"/>
    <w:rsid w:val="006446B9"/>
    <w:rsid w:val="0076555E"/>
    <w:rsid w:val="00832BC9"/>
    <w:rsid w:val="00890462"/>
    <w:rsid w:val="00892191"/>
    <w:rsid w:val="00910F80"/>
    <w:rsid w:val="009C2DE4"/>
    <w:rsid w:val="00AE0CC4"/>
    <w:rsid w:val="00BA2E3D"/>
    <w:rsid w:val="00C525F8"/>
    <w:rsid w:val="00C946D4"/>
    <w:rsid w:val="00CA0F7B"/>
    <w:rsid w:val="00DA0B67"/>
    <w:rsid w:val="00E56C97"/>
    <w:rsid w:val="00EA0DDD"/>
    <w:rsid w:val="00F72644"/>
    <w:rsid w:val="00F869B9"/>
    <w:rsid w:val="022A33E1"/>
    <w:rsid w:val="02B47861"/>
    <w:rsid w:val="04654DC4"/>
    <w:rsid w:val="0822151D"/>
    <w:rsid w:val="08682950"/>
    <w:rsid w:val="08D87341"/>
    <w:rsid w:val="0BC12118"/>
    <w:rsid w:val="0C890300"/>
    <w:rsid w:val="161B7A15"/>
    <w:rsid w:val="162B00EE"/>
    <w:rsid w:val="16CD05AC"/>
    <w:rsid w:val="16E50DE0"/>
    <w:rsid w:val="19977D8A"/>
    <w:rsid w:val="219E39B8"/>
    <w:rsid w:val="24510545"/>
    <w:rsid w:val="25477C36"/>
    <w:rsid w:val="288A0F78"/>
    <w:rsid w:val="29C73F17"/>
    <w:rsid w:val="2BE439BC"/>
    <w:rsid w:val="2F2F33BB"/>
    <w:rsid w:val="30BC4C26"/>
    <w:rsid w:val="33085EB0"/>
    <w:rsid w:val="34394804"/>
    <w:rsid w:val="34CC172C"/>
    <w:rsid w:val="39A42B0C"/>
    <w:rsid w:val="3B8E0546"/>
    <w:rsid w:val="3D4536F5"/>
    <w:rsid w:val="46753A21"/>
    <w:rsid w:val="47EA5951"/>
    <w:rsid w:val="4C8E6B3E"/>
    <w:rsid w:val="4F536F5C"/>
    <w:rsid w:val="4FDC68BF"/>
    <w:rsid w:val="505F6CEB"/>
    <w:rsid w:val="53D675C5"/>
    <w:rsid w:val="54382FF3"/>
    <w:rsid w:val="54E02594"/>
    <w:rsid w:val="555B4257"/>
    <w:rsid w:val="5EF369C2"/>
    <w:rsid w:val="5F7D66C9"/>
    <w:rsid w:val="608A67CB"/>
    <w:rsid w:val="62844552"/>
    <w:rsid w:val="63714235"/>
    <w:rsid w:val="6488303F"/>
    <w:rsid w:val="64ED2421"/>
    <w:rsid w:val="671A7149"/>
    <w:rsid w:val="6B015D7A"/>
    <w:rsid w:val="6DB30687"/>
    <w:rsid w:val="6F8C3791"/>
    <w:rsid w:val="70570982"/>
    <w:rsid w:val="708E5910"/>
    <w:rsid w:val="747B57C1"/>
    <w:rsid w:val="74966C14"/>
    <w:rsid w:val="75B44CF4"/>
    <w:rsid w:val="768B3F84"/>
    <w:rsid w:val="76910A96"/>
    <w:rsid w:val="78EA6370"/>
    <w:rsid w:val="7D5135A2"/>
    <w:rsid w:val="7E1D286D"/>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Balloon Text"/>
    <w:basedOn w:val="1"/>
    <w:link w:val="16"/>
    <w:qFormat/>
    <w:uiPriority w:val="0"/>
    <w:rPr>
      <w:sz w:val="18"/>
      <w:szCs w:val="18"/>
    </w:rPr>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annotation subject"/>
    <w:basedOn w:val="4"/>
    <w:next w:val="4"/>
    <w:link w:val="19"/>
    <w:qFormat/>
    <w:uiPriority w:val="0"/>
    <w:rPr>
      <w:b/>
      <w:bCs/>
    </w:rPr>
  </w:style>
  <w:style w:type="character" w:styleId="12">
    <w:name w:val="annotation reference"/>
    <w:basedOn w:val="11"/>
    <w:qFormat/>
    <w:uiPriority w:val="0"/>
    <w:rPr>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批注框文本 字符"/>
    <w:basedOn w:val="11"/>
    <w:link w:val="6"/>
    <w:qFormat/>
    <w:uiPriority w:val="0"/>
    <w:rPr>
      <w:rFonts w:asciiTheme="minorHAnsi" w:hAnsiTheme="minorHAnsi" w:eastAsiaTheme="minorHAnsi" w:cstheme="minorBidi"/>
      <w:sz w:val="18"/>
      <w:szCs w:val="18"/>
      <w:lang w:eastAsia="en-US"/>
    </w:rPr>
  </w:style>
  <w:style w:type="character" w:customStyle="1" w:styleId="17">
    <w:name w:val="页脚 字符"/>
    <w:basedOn w:val="11"/>
    <w:link w:val="7"/>
    <w:qFormat/>
    <w:uiPriority w:val="0"/>
    <w:rPr>
      <w:rFonts w:asciiTheme="minorHAnsi" w:hAnsiTheme="minorHAnsi" w:eastAsiaTheme="minorHAnsi" w:cstheme="minorBidi"/>
      <w:sz w:val="18"/>
      <w:szCs w:val="18"/>
      <w:lang w:eastAsia="en-US"/>
    </w:rPr>
  </w:style>
  <w:style w:type="character" w:customStyle="1" w:styleId="18">
    <w:name w:val="批注文字 字符"/>
    <w:basedOn w:val="11"/>
    <w:link w:val="4"/>
    <w:qFormat/>
    <w:uiPriority w:val="0"/>
    <w:rPr>
      <w:rFonts w:asciiTheme="minorHAnsi" w:hAnsiTheme="minorHAnsi" w:eastAsiaTheme="minorHAnsi" w:cstheme="minorBidi"/>
      <w:sz w:val="22"/>
      <w:szCs w:val="22"/>
      <w:lang w:eastAsia="en-US"/>
    </w:rPr>
  </w:style>
  <w:style w:type="character" w:customStyle="1" w:styleId="19">
    <w:name w:val="批注主题 字符"/>
    <w:basedOn w:val="18"/>
    <w:link w:val="9"/>
    <w:qFormat/>
    <w:uiPriority w:val="0"/>
    <w:rPr>
      <w:rFonts w:asciiTheme="minorHAnsi" w:hAnsiTheme="minorHAnsi" w:eastAsiaTheme="minorHAnsi" w:cstheme="minorBidi"/>
      <w:b/>
      <w:bCs/>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1493</Words>
  <Characters>1624</Characters>
  <Lines>12</Lines>
  <Paragraphs>3</Paragraphs>
  <TotalTime>1</TotalTime>
  <ScaleCrop>false</ScaleCrop>
  <LinksUpToDate>false</LinksUpToDate>
  <CharactersWithSpaces>1672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admin</cp:lastModifiedBy>
  <dcterms:modified xsi:type="dcterms:W3CDTF">2024-06-12T10:39:27Z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2052-12.1.0.16929</vt:lpwstr>
  </property>
  <property fmtid="{D5CDD505-2E9C-101B-9397-08002B2CF9AE}" pid="6" name="ICV">
    <vt:lpwstr>4DFBAE58533245A6A3E6FCA55C54D6E1</vt:lpwstr>
  </property>
</Properties>
</file>