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91F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pacing w:val="0"/>
          <w:w w:val="92"/>
          <w:sz w:val="44"/>
          <w:szCs w:val="44"/>
          <w:lang w:eastAsia="zh-CN"/>
        </w:rPr>
      </w:pPr>
    </w:p>
    <w:p w14:paraId="51D3E8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pacing w:val="0"/>
          <w:w w:val="92"/>
          <w:sz w:val="44"/>
          <w:szCs w:val="44"/>
          <w:lang w:eastAsia="zh-CN"/>
        </w:rPr>
      </w:pPr>
    </w:p>
    <w:p w14:paraId="7FCB60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pacing w:val="0"/>
          <w:w w:val="92"/>
          <w:sz w:val="44"/>
          <w:szCs w:val="44"/>
          <w:lang w:eastAsia="zh-CN"/>
        </w:rPr>
      </w:pPr>
    </w:p>
    <w:p w14:paraId="7DA1F6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pacing w:val="0"/>
          <w:w w:val="92"/>
          <w:sz w:val="44"/>
          <w:szCs w:val="44"/>
          <w:lang w:eastAsia="zh-CN"/>
        </w:rPr>
      </w:pPr>
    </w:p>
    <w:p w14:paraId="35D3FA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0"/>
          <w:w w:val="85"/>
          <w:sz w:val="44"/>
          <w:szCs w:val="44"/>
        </w:rPr>
        <w:t>广州市花都区2024年度第三十批次城镇建设</w:t>
      </w:r>
    </w:p>
    <w:p w14:paraId="2EA579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0"/>
          <w:w w:val="92"/>
          <w:sz w:val="44"/>
          <w:szCs w:val="44"/>
        </w:rPr>
        <w:t>用地</w:t>
      </w:r>
      <w:r>
        <w:rPr>
          <w:rFonts w:hint="eastAsia" w:ascii="Times New Roman" w:hAnsi="Times New Roman" w:eastAsia="方正小标宋简体" w:cs="Times New Roman"/>
          <w:b/>
          <w:bCs/>
          <w:spacing w:val="0"/>
          <w:w w:val="92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/>
          <w:bCs/>
          <w:spacing w:val="0"/>
          <w:w w:val="92"/>
          <w:sz w:val="44"/>
          <w:szCs w:val="44"/>
        </w:rPr>
        <w:t>花城街紫薇中学新建项目</w:t>
      </w:r>
      <w:r>
        <w:rPr>
          <w:rFonts w:hint="eastAsia" w:ascii="Times New Roman" w:hAnsi="Times New Roman" w:eastAsia="方正小标宋简体" w:cs="Times New Roman"/>
          <w:b/>
          <w:bCs/>
          <w:spacing w:val="0"/>
          <w:w w:val="92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/>
          <w:bCs/>
          <w:spacing w:val="0"/>
          <w:w w:val="92"/>
          <w:sz w:val="44"/>
          <w:szCs w:val="44"/>
        </w:rPr>
        <w:t>项目</w:t>
      </w:r>
    </w:p>
    <w:p w14:paraId="7B10A1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default" w:ascii="Times New Roman" w:hAnsi="Times New Roman" w:eastAsia="宋体" w:cs="Times New Roman"/>
          <w:spacing w:val="0"/>
          <w:sz w:val="59"/>
          <w:szCs w:val="59"/>
        </w:rPr>
      </w:pPr>
      <w:r>
        <w:rPr>
          <w:rFonts w:hint="default" w:ascii="Times New Roman" w:hAnsi="Times New Roman" w:eastAsia="方正小标宋简体" w:cs="Times New Roman"/>
          <w:b/>
          <w:bCs/>
          <w:spacing w:val="0"/>
          <w:w w:val="83"/>
          <w:sz w:val="44"/>
          <w:szCs w:val="44"/>
        </w:rPr>
        <w:t>被征地农民养老保障方案</w:t>
      </w:r>
    </w:p>
    <w:p w14:paraId="6A680FAA">
      <w:pPr>
        <w:spacing w:line="466" w:lineRule="auto"/>
        <w:rPr>
          <w:rFonts w:hint="default" w:ascii="Times New Roman" w:hAnsi="Times New Roman" w:cs="Times New Roman"/>
          <w:spacing w:val="0"/>
          <w:sz w:val="21"/>
        </w:rPr>
      </w:pPr>
    </w:p>
    <w:p w14:paraId="57A21B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依照《中华人民共和国土地管理法》《关于切实做好被征地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农民社会保障工作有关问题的通知》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劳社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部发〔2007〕14号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《广东省人民政府办公厅转发省人力资源社会保障厅关于进一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步完善我省被征地农民养老保障政策意见的通知》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粤府办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〔2021〕22号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和《广州市人民政府办公厅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转发关于进一步完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善我省被征地农民养老保障政策意见的通知》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穗府办规〔2022〕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3号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等有关规定，拟定广州市花都区2024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年度第三十批次城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镇建设用地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花城街紫薇中学新建项目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被征地农民养老保障方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案如下：</w:t>
      </w:r>
    </w:p>
    <w:p w14:paraId="1789BD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一、对广州市花都区2024年度第三十批次城镇建设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用地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花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城街紫薇中学新建项目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项目涉及的被征地农民实施社会养老保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障。</w:t>
      </w:r>
    </w:p>
    <w:p w14:paraId="365818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二、征地社保费筹集。依据市规划和自然资源局花都区分局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提供情况，该项目征收我区花城街大华村土地面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积共70.1445亩，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其中0亩属于农村集体经济组织留用地，征地双方目前尚未签订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征地补偿安置协议。该项目征地社保费应按2.14万元/亩的标准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计提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即征地补偿安置方案制定时，花都区平均每亩征收农用地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区片综合地价13.33万元/亩的16%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需计提资金150.11万元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由征地主体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用地单位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一次性预存入花都区社会保险基金管理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办公室“收缴被征地农民养老保障资金过渡户”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中国建设银行广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州市绿色金融改革创新试验区花都分行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44050155150100002584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 w14:paraId="68E3DF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三、征地社保费补贴对象。按“筹集资金分配到户，户内平均分配到人”的基本原则确定征地社保补贴对象。享有农村集体土地承包权的农户，其家庭承包的土地被政府依法统一征收，征收安置补偿方案制定时属于农村集体经济组织成员且年满16周岁以上的家庭成员，纳入征地社保补贴对象范围。农村集体经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组织另有规定的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如实行土地股份制经济或者集体统一经营土地等情况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可从其规定。</w:t>
      </w:r>
    </w:p>
    <w:p w14:paraId="0A4F10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四、征地社保费发放。一是征地社保费与征地安置补偿费同期拨付。征地实施部门在拟发放征地安置补助费时，应告知同级人力资源社会保障部门和征地项目所在乡镇人民政府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街道办事处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。乡镇人民政府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街道办事处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牵头组织被征地农户在15个工作日内按时提供具体参保人员名单和分配金额。被征地农户未按时提供的，由乡镇人民政府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街道办事处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按被征地农户的16周岁以上人口平均分配资金原则确定参保人员名单和分配金额，送所属人力资源社会保障部门办理社保手续。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二是符合条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件的被征地农民按规定享受征地社保补贴，一次性划入其城乡居民养老保险个人账户，不计算实际缴费年限；其中已领取城镇职工基本养老金的，一次性支付个人。</w:t>
      </w:r>
    </w:p>
    <w:p w14:paraId="1DC674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附件：征地土地及养老保障情况表</w:t>
      </w:r>
    </w:p>
    <w:p w14:paraId="573578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27F593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219F3F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5EFEF5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940" w:leftChars="140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36676F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940" w:leftChars="140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17"/>
          <w:sz w:val="32"/>
          <w:szCs w:val="32"/>
        </w:rPr>
        <w:t>广州市花都区人力资源和社会保障局</w:t>
      </w:r>
    </w:p>
    <w:p w14:paraId="7E00A2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620" w:leftChars="220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2024年6月12日</w:t>
      </w:r>
    </w:p>
    <w:p w14:paraId="264148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sectPr>
          <w:footerReference r:id="rId5" w:type="default"/>
          <w:pgSz w:w="11910" w:h="16850"/>
          <w:pgMar w:top="1432" w:right="1509" w:bottom="1844" w:left="1599" w:header="0" w:footer="1527" w:gutter="0"/>
          <w:cols w:space="720" w:num="1"/>
        </w:sectPr>
      </w:pPr>
    </w:p>
    <w:p w14:paraId="09F7D8CC">
      <w:pPr>
        <w:spacing w:line="291" w:lineRule="auto"/>
        <w:rPr>
          <w:rFonts w:hint="default" w:ascii="Times New Roman" w:hAnsi="Times New Roman" w:cs="Times New Roman"/>
          <w:spacing w:val="0"/>
          <w:sz w:val="21"/>
        </w:rPr>
      </w:pPr>
    </w:p>
    <w:p w14:paraId="6F00B084">
      <w:pPr>
        <w:spacing w:line="291" w:lineRule="auto"/>
        <w:rPr>
          <w:rFonts w:hint="default" w:ascii="Times New Roman" w:hAnsi="Times New Roman" w:cs="Times New Roman"/>
          <w:spacing w:val="0"/>
          <w:sz w:val="21"/>
        </w:rPr>
      </w:pPr>
    </w:p>
    <w:p w14:paraId="776A5F50">
      <w:pPr>
        <w:spacing w:before="104" w:line="224" w:lineRule="auto"/>
        <w:ind w:left="94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</w:rPr>
        <w:t>附件</w:t>
      </w:r>
    </w:p>
    <w:p w14:paraId="66D1994A">
      <w:pPr>
        <w:pStyle w:val="2"/>
        <w:spacing w:before="163" w:line="221" w:lineRule="auto"/>
        <w:ind w:left="1756"/>
        <w:rPr>
          <w:rFonts w:hint="default" w:ascii="Times New Roman" w:hAnsi="Times New Roman" w:cs="Times New Roman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</w:rPr>
        <w:t>征收土地及养老保障情况表</w:t>
      </w:r>
    </w:p>
    <w:p w14:paraId="45B4BCC6">
      <w:pPr>
        <w:spacing w:before="219" w:line="220" w:lineRule="auto"/>
        <w:ind w:left="6440"/>
        <w:rPr>
          <w:rFonts w:hint="eastAsia" w:ascii="仿宋_GB2312" w:hAnsi="仿宋_GB2312" w:eastAsia="仿宋_GB2312" w:cs="仿宋_GB2312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单位：亩、万元</w:t>
      </w:r>
    </w:p>
    <w:p w14:paraId="5ECDDE37">
      <w:pPr>
        <w:spacing w:line="78" w:lineRule="exact"/>
        <w:rPr>
          <w:rFonts w:hint="eastAsia" w:ascii="仿宋_GB2312" w:hAnsi="仿宋_GB2312" w:eastAsia="仿宋_GB2312" w:cs="仿宋_GB2312"/>
          <w:spacing w:val="0"/>
        </w:rPr>
      </w:pPr>
    </w:p>
    <w:tbl>
      <w:tblPr>
        <w:tblStyle w:val="6"/>
        <w:tblW w:w="8659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637"/>
        <w:gridCol w:w="1668"/>
        <w:gridCol w:w="1927"/>
        <w:gridCol w:w="1523"/>
      </w:tblGrid>
      <w:tr w14:paraId="19046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3541" w:type="dxa"/>
            <w:gridSpan w:val="2"/>
            <w:vAlign w:val="top"/>
          </w:tcPr>
          <w:p w14:paraId="75CF931F">
            <w:pPr>
              <w:spacing w:line="324" w:lineRule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1"/>
              </w:rPr>
            </w:pPr>
          </w:p>
          <w:p w14:paraId="7FBF10C4">
            <w:pPr>
              <w:pStyle w:val="7"/>
              <w:spacing w:before="79" w:line="219" w:lineRule="auto"/>
              <w:ind w:left="1165"/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  <w:t>被征地单位</w:t>
            </w:r>
          </w:p>
        </w:tc>
        <w:tc>
          <w:tcPr>
            <w:tcW w:w="1668" w:type="dxa"/>
            <w:vAlign w:val="top"/>
          </w:tcPr>
          <w:p w14:paraId="3CEEDCF8">
            <w:pPr>
              <w:spacing w:line="324" w:lineRule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1"/>
              </w:rPr>
            </w:pPr>
          </w:p>
          <w:p w14:paraId="74E3A5D2">
            <w:pPr>
              <w:pStyle w:val="7"/>
              <w:spacing w:before="79" w:line="219" w:lineRule="auto"/>
              <w:ind w:left="103"/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  <w:t>征收土地面积</w:t>
            </w:r>
          </w:p>
        </w:tc>
        <w:tc>
          <w:tcPr>
            <w:tcW w:w="1927" w:type="dxa"/>
            <w:vAlign w:val="top"/>
          </w:tcPr>
          <w:p w14:paraId="1005B23C">
            <w:pPr>
              <w:pStyle w:val="7"/>
              <w:spacing w:before="244" w:line="226" w:lineRule="auto"/>
              <w:ind w:left="115" w:right="105"/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  <w:t>其中属于被征地单位留用地面积</w:t>
            </w:r>
          </w:p>
        </w:tc>
        <w:tc>
          <w:tcPr>
            <w:tcW w:w="1523" w:type="dxa"/>
            <w:vAlign w:val="top"/>
          </w:tcPr>
          <w:p w14:paraId="227A88EA">
            <w:pPr>
              <w:pStyle w:val="7"/>
              <w:spacing w:before="244" w:line="229" w:lineRule="auto"/>
              <w:ind w:left="397" w:right="144" w:hanging="239"/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  <w:t>需计提征地社保费</w:t>
            </w:r>
          </w:p>
        </w:tc>
      </w:tr>
      <w:tr w14:paraId="47FEE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04" w:type="dxa"/>
            <w:vAlign w:val="top"/>
          </w:tcPr>
          <w:p w14:paraId="72C4ECCA">
            <w:pPr>
              <w:pStyle w:val="7"/>
              <w:spacing w:before="275" w:line="219" w:lineRule="auto"/>
              <w:ind w:left="55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花城街</w:t>
            </w:r>
          </w:p>
        </w:tc>
        <w:tc>
          <w:tcPr>
            <w:tcW w:w="2637" w:type="dxa"/>
            <w:vAlign w:val="top"/>
          </w:tcPr>
          <w:p w14:paraId="43E0A47A">
            <w:pPr>
              <w:pStyle w:val="7"/>
              <w:spacing w:before="273" w:line="219" w:lineRule="auto"/>
              <w:ind w:left="130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大华村大华经济合作社</w:t>
            </w:r>
          </w:p>
        </w:tc>
        <w:tc>
          <w:tcPr>
            <w:tcW w:w="1668" w:type="dxa"/>
            <w:vAlign w:val="top"/>
          </w:tcPr>
          <w:p w14:paraId="5FB0A2E8">
            <w:pPr>
              <w:spacing w:line="25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84C4AA8">
            <w:pPr>
              <w:pStyle w:val="7"/>
              <w:spacing w:before="78" w:line="184" w:lineRule="auto"/>
              <w:ind w:left="403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70.1445</w:t>
            </w:r>
          </w:p>
        </w:tc>
        <w:tc>
          <w:tcPr>
            <w:tcW w:w="1927" w:type="dxa"/>
            <w:vAlign w:val="top"/>
          </w:tcPr>
          <w:p w14:paraId="28B25333">
            <w:pPr>
              <w:spacing w:line="257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9973C34">
            <w:pPr>
              <w:pStyle w:val="7"/>
              <w:spacing w:before="78" w:line="183" w:lineRule="auto"/>
              <w:ind w:left="895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0</w:t>
            </w:r>
          </w:p>
        </w:tc>
        <w:tc>
          <w:tcPr>
            <w:tcW w:w="1523" w:type="dxa"/>
            <w:vAlign w:val="top"/>
          </w:tcPr>
          <w:p w14:paraId="19A02BBA">
            <w:pPr>
              <w:spacing w:line="25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F9B3B4B">
            <w:pPr>
              <w:pStyle w:val="7"/>
              <w:spacing w:before="78" w:line="184" w:lineRule="auto"/>
              <w:ind w:left="398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150.11</w:t>
            </w:r>
          </w:p>
        </w:tc>
      </w:tr>
      <w:tr w14:paraId="56819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541" w:type="dxa"/>
            <w:gridSpan w:val="2"/>
            <w:vAlign w:val="top"/>
          </w:tcPr>
          <w:p w14:paraId="180FD618">
            <w:pPr>
              <w:pStyle w:val="7"/>
              <w:spacing w:before="269" w:line="221" w:lineRule="auto"/>
              <w:ind w:left="1524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合计</w:t>
            </w:r>
          </w:p>
        </w:tc>
        <w:tc>
          <w:tcPr>
            <w:tcW w:w="1668" w:type="dxa"/>
            <w:vAlign w:val="top"/>
          </w:tcPr>
          <w:p w14:paraId="5FF949C6">
            <w:pPr>
              <w:spacing w:line="24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C1407D5">
            <w:pPr>
              <w:pStyle w:val="7"/>
              <w:spacing w:before="78" w:line="184" w:lineRule="auto"/>
              <w:ind w:left="403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70.1445</w:t>
            </w:r>
          </w:p>
        </w:tc>
        <w:tc>
          <w:tcPr>
            <w:tcW w:w="1927" w:type="dxa"/>
            <w:vAlign w:val="top"/>
          </w:tcPr>
          <w:p w14:paraId="2D68BAA2">
            <w:pPr>
              <w:spacing w:line="25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D96D631">
            <w:pPr>
              <w:pStyle w:val="7"/>
              <w:spacing w:before="78" w:line="183" w:lineRule="auto"/>
              <w:ind w:left="895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0</w:t>
            </w:r>
          </w:p>
        </w:tc>
        <w:tc>
          <w:tcPr>
            <w:tcW w:w="1523" w:type="dxa"/>
            <w:vAlign w:val="top"/>
          </w:tcPr>
          <w:p w14:paraId="07B9DE37">
            <w:pPr>
              <w:spacing w:line="24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5D4BC7C">
            <w:pPr>
              <w:pStyle w:val="7"/>
              <w:spacing w:before="78" w:line="184" w:lineRule="auto"/>
              <w:ind w:left="398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150.11</w:t>
            </w:r>
          </w:p>
        </w:tc>
      </w:tr>
    </w:tbl>
    <w:p w14:paraId="4103884C">
      <w:pPr>
        <w:pStyle w:val="2"/>
        <w:spacing w:before="56" w:line="239" w:lineRule="auto"/>
        <w:ind w:left="50" w:right="166" w:firstLine="20"/>
        <w:jc w:val="both"/>
        <w:rPr>
          <w:rFonts w:hint="eastAsia" w:ascii="仿宋_GB2312" w:hAnsi="仿宋_GB2312" w:eastAsia="仿宋_GB2312" w:cs="仿宋_GB2312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备注：该项目按2.14万元/亩的标准计提征地社保费，即：按征地补偿安置方案制定时，花都区平均每亩征收农用地区片综合地价13.33万元/亩的16%。属于农村集体经济组织留用地的，按规定不计提征地社保费。</w:t>
      </w:r>
    </w:p>
    <w:sectPr>
      <w:footerReference r:id="rId6" w:type="default"/>
      <w:pgSz w:w="11910" w:h="16850"/>
      <w:pgMar w:top="1432" w:right="1604" w:bottom="1814" w:left="1509" w:header="0" w:footer="14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D0CDF1-C6D2-48DA-8D24-F0AB53511E2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B69C0F-E105-45DA-AA12-1A1367B3DA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7714F1A-1E1D-4418-90FD-A26852F838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B68843E-ABD4-4867-AB40-4CCEF3D2F2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D59D9">
    <w:pPr>
      <w:spacing w:line="177" w:lineRule="auto"/>
      <w:ind w:left="777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—3—</w:t>
    </w:r>
    <w:r>
      <w:rPr>
        <w:rFonts w:ascii="宋体" w:hAnsi="宋体" w:eastAsia="宋体" w:cs="宋体"/>
        <w:sz w:val="32"/>
        <w:szCs w:val="3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50CE5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Q4ZjQ0ZGZmNGViY2FhNjg0YzI0OGI5MzUxNjNkNDYifQ=="/>
  </w:docVars>
  <w:rsids>
    <w:rsidRoot w:val="00000000"/>
    <w:rsid w:val="1D051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1237</Words>
  <Characters>1338</Characters>
  <TotalTime>9</TotalTime>
  <ScaleCrop>false</ScaleCrop>
  <LinksUpToDate>false</LinksUpToDate>
  <CharactersWithSpaces>1391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2024-06-27T15:47:00Z</dcterms:created>
  <dc:creator>12813</dc:creator>
  <cp:lastModifiedBy>123</cp:lastModifiedBy>
  <dcterms:modified xsi:type="dcterms:W3CDTF">2024-06-27T07:56:48Z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2024-06-27T15:47:01Z</vt:filetime>
  </property>
  <property fmtid="{D5CDD505-2E9C-101B-9397-08002B2CF9AE}" pid="4" name="UsrData">
    <vt:lpwstr>667d18f280e0c90020621acfwl</vt:lpwstr>
  </property>
  <property fmtid="{D5CDD505-2E9C-101B-9397-08002B2CF9AE}" pid="5" name="KSOProductBuildVer">
    <vt:lpwstr>2052-12.1.0.17133</vt:lpwstr>
  </property>
  <property fmtid="{D5CDD505-2E9C-101B-9397-08002B2CF9AE}" pid="6" name="ICV">
    <vt:lpwstr>C7369F5C027644CD9D802CD8D819B38A_12</vt:lpwstr>
  </property>
</Properties>
</file>