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广州市花都区2024年度第四十批次城镇建设用地（花都区临空数智港北兴片区</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〔一期〕）</w:t>
      </w:r>
      <w:r>
        <w:rPr>
          <w:rFonts w:hint="eastAsia" w:ascii="方正小标宋简体" w:hAnsi="方正小标宋简体" w:eastAsia="方正小标宋简体" w:cs="方正小标宋简体"/>
          <w:color w:val="auto"/>
          <w:sz w:val="44"/>
          <w:szCs w:val="44"/>
          <w:lang w:eastAsia="zh-CN"/>
        </w:rPr>
        <w:t>项目被征地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广州市花都区2024年度第四十批次城镇建设用地（花都区临空数智港北兴片区〔一期〕）</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广州市花都区2024年度第四十批次城镇建设用地（花都区临空数智港北兴片区〔一期〕）</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花东镇杨二村、杨三村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土地面积共456.0615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41.4600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887.32</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cs="仿宋_GB2312"/>
          <w:color w:val="auto"/>
          <w:lang w:eastAsia="zh-CN"/>
        </w:rPr>
        <w:t>三、征</w:t>
      </w:r>
      <w:r>
        <w:rPr>
          <w:rFonts w:hint="eastAsia" w:ascii="仿宋_GB2312" w:hAnsi="仿宋_GB2312" w:eastAsia="仿宋_GB2312" w:cs="仿宋_GB2312"/>
          <w:color w:val="auto"/>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送所属</w:t>
      </w:r>
      <w:r>
        <w:rPr>
          <w:rFonts w:ascii="仿宋_GB2312" w:hAnsi="仿宋_GB2312" w:cs="仿宋_GB2312"/>
          <w:color w:val="auto"/>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color w:val="auto"/>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14</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color w:val="auto"/>
        </w:rPr>
      </w:pPr>
      <w:bookmarkStart w:id="0" w:name="_GoBack"/>
      <w:bookmarkEnd w:id="0"/>
    </w:p>
    <w:p>
      <w:pPr>
        <w:rPr>
          <w:rFonts w:hint="eastAsia" w:ascii="黑体" w:hAnsi="黑体" w:eastAsia="黑体" w:cs="黑体"/>
          <w:color w:val="auto"/>
        </w:rPr>
      </w:pPr>
    </w:p>
    <w:p>
      <w:pPr>
        <w:rPr>
          <w:rFonts w:hint="eastAsia" w:ascii="黑体" w:hAnsi="黑体" w:eastAsia="黑体" w:cs="黑体"/>
          <w:color w:val="auto"/>
        </w:rPr>
      </w:pPr>
    </w:p>
    <w:p>
      <w:pPr>
        <w:pStyle w:val="2"/>
        <w:rPr>
          <w:rFonts w:hint="eastAsia"/>
        </w:rPr>
      </w:pPr>
    </w:p>
    <w:p>
      <w:pPr>
        <w:rPr>
          <w:rFonts w:hint="eastAsia" w:ascii="黑体" w:hAnsi="黑体" w:eastAsia="黑体" w:cs="黑体"/>
          <w:color w:val="auto"/>
        </w:rPr>
      </w:pPr>
    </w:p>
    <w:p>
      <w:pPr>
        <w:rPr>
          <w:rFonts w:hint="default" w:ascii="黑体" w:hAnsi="黑体" w:eastAsia="黑体" w:cs="黑体"/>
          <w:color w:val="auto"/>
          <w:lang w:val="en-US" w:eastAsia="zh-CN"/>
        </w:rPr>
      </w:pPr>
      <w:r>
        <w:rPr>
          <w:rFonts w:hint="eastAsia" w:ascii="黑体" w:hAnsi="黑体" w:eastAsia="黑体" w:cs="黑体"/>
          <w:color w:val="auto"/>
        </w:rPr>
        <w:t>附</w:t>
      </w:r>
      <w:r>
        <w:rPr>
          <w:rFonts w:hint="eastAsia" w:ascii="黑体" w:hAnsi="黑体" w:eastAsia="黑体" w:cs="黑体"/>
          <w:color w:val="auto"/>
          <w:lang w:eastAsia="zh-CN"/>
        </w:rPr>
        <w:t>件</w:t>
      </w:r>
    </w:p>
    <w:p>
      <w:pPr>
        <w:spacing w:line="600" w:lineRule="exact"/>
        <w:ind w:right="210"/>
        <w:jc w:val="center"/>
        <w:rPr>
          <w:rFonts w:eastAsia="方正小标宋简体"/>
          <w:color w:val="auto"/>
          <w:sz w:val="44"/>
          <w:szCs w:val="44"/>
        </w:rPr>
      </w:pPr>
      <w:r>
        <w:rPr>
          <w:rFonts w:hint="eastAsia" w:eastAsia="方正小标宋简体"/>
          <w:color w:val="auto"/>
          <w:sz w:val="44"/>
          <w:szCs w:val="44"/>
        </w:rPr>
        <w:t>征收土地及养老保障情况表</w:t>
      </w:r>
    </w:p>
    <w:p>
      <w:pPr>
        <w:spacing w:line="600" w:lineRule="exact"/>
        <w:ind w:right="770"/>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915"/>
        <w:gridCol w:w="2880"/>
        <w:gridCol w:w="1440"/>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795"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被征地单位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15" w:hRule="atLeast"/>
          <w:jc w:val="center"/>
        </w:trPr>
        <w:tc>
          <w:tcPr>
            <w:tcW w:w="915"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lang w:eastAsia="zh-CN"/>
              </w:rPr>
            </w:pPr>
            <w:r>
              <w:rPr>
                <w:rFonts w:hint="eastAsia" w:ascii="仿宋_GB2312" w:hAnsi="仿宋_GB2312" w:cs="仿宋_GB2312"/>
                <w:color w:val="auto"/>
                <w:kern w:val="0"/>
                <w:sz w:val="24"/>
                <w:szCs w:val="24"/>
                <w:lang w:eastAsia="zh-CN"/>
              </w:rPr>
              <w:t>花东镇</w:t>
            </w:r>
          </w:p>
        </w:tc>
        <w:tc>
          <w:tcPr>
            <w:tcW w:w="2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杨二村第六经济合作社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9.393</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0.8535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18.28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95" w:hRule="atLeast"/>
          <w:jc w:val="center"/>
        </w:trPr>
        <w:tc>
          <w:tcPr>
            <w:tcW w:w="915"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杨二村第七经济合作社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36.8235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3.348</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71.64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45" w:hRule="atLeast"/>
          <w:jc w:val="center"/>
        </w:trPr>
        <w:tc>
          <w:tcPr>
            <w:tcW w:w="915"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杨二村第三经济合作社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10.0845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0.9165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19.62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10" w:hRule="atLeast"/>
          <w:jc w:val="center"/>
        </w:trPr>
        <w:tc>
          <w:tcPr>
            <w:tcW w:w="915"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杨二村第十经济合作社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16.6755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1.5165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32.45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40" w:hRule="atLeast"/>
          <w:jc w:val="center"/>
        </w:trPr>
        <w:tc>
          <w:tcPr>
            <w:tcW w:w="915"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杨二村第十一经济合作社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19.1685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1.743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37.3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5" w:hRule="atLeast"/>
          <w:jc w:val="center"/>
        </w:trPr>
        <w:tc>
          <w:tcPr>
            <w:tcW w:w="915"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杨二村第四经济合作社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13.35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1.2135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rPr>
            </w:pPr>
            <w:r>
              <w:rPr>
                <w:rFonts w:hint="eastAsia" w:ascii="仿宋_GB2312" w:hAnsi="仿宋_GB2312" w:eastAsia="仿宋_GB2312" w:cs="仿宋_GB2312"/>
                <w:i w:val="0"/>
                <w:iCs w:val="0"/>
                <w:color w:val="auto"/>
                <w:kern w:val="0"/>
                <w:sz w:val="24"/>
                <w:szCs w:val="24"/>
                <w:u w:val="none"/>
                <w:lang w:val="en-US" w:eastAsia="zh-CN" w:bidi="ar"/>
              </w:rPr>
              <w:t>25.98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5" w:hRule="atLeast"/>
          <w:jc w:val="center"/>
        </w:trPr>
        <w:tc>
          <w:tcPr>
            <w:tcW w:w="915"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杨二村第五经济合作社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20.412</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1.8555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39.72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30" w:hRule="atLeast"/>
          <w:jc w:val="center"/>
        </w:trPr>
        <w:tc>
          <w:tcPr>
            <w:tcW w:w="915"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杨三村第八经济合作社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0.153</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0.0135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10" w:hRule="atLeast"/>
          <w:jc w:val="center"/>
        </w:trPr>
        <w:tc>
          <w:tcPr>
            <w:tcW w:w="915"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杨三村第六经济合作社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2.046</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0.186</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3.99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85" w:hRule="atLeast"/>
          <w:jc w:val="center"/>
        </w:trPr>
        <w:tc>
          <w:tcPr>
            <w:tcW w:w="915"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杨三村第十一经济合作社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0.489</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0.045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0.96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915"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杨三村第一经济合作社、第三经济合作社、第二经济合作社、第十一经济合作社、第十四经济合作社、第四经济合作社（共有）</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1.005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0.09</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1.96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95" w:hRule="atLeast"/>
          <w:jc w:val="center"/>
        </w:trPr>
        <w:tc>
          <w:tcPr>
            <w:tcW w:w="915"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杨三村经济联合社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326.4615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29.679</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635.12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jc w:val="center"/>
        </w:trPr>
        <w:tc>
          <w:tcPr>
            <w:tcW w:w="3795"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456.0615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41.46</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887.32</w:t>
            </w:r>
          </w:p>
        </w:tc>
      </w:tr>
    </w:tbl>
    <w:p>
      <w:pPr>
        <w:spacing w:line="320" w:lineRule="exact"/>
        <w:ind w:right="210"/>
        <w:jc w:val="left"/>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45E764C"/>
    <w:rsid w:val="15CE692B"/>
    <w:rsid w:val="18A233DB"/>
    <w:rsid w:val="19E21F71"/>
    <w:rsid w:val="1B6337E0"/>
    <w:rsid w:val="20B67655"/>
    <w:rsid w:val="211F0DDA"/>
    <w:rsid w:val="23141564"/>
    <w:rsid w:val="28702BCD"/>
    <w:rsid w:val="2A015B73"/>
    <w:rsid w:val="2B972895"/>
    <w:rsid w:val="2C985894"/>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5A9621A"/>
    <w:rsid w:val="66177D25"/>
    <w:rsid w:val="6910044C"/>
    <w:rsid w:val="69B87A02"/>
    <w:rsid w:val="6ED95F54"/>
    <w:rsid w:val="72270D40"/>
    <w:rsid w:val="72C048A2"/>
    <w:rsid w:val="7451241A"/>
    <w:rsid w:val="748706FC"/>
    <w:rsid w:val="75D5385F"/>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2024-08-14T01:56:48Z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13A31874D2194888A797C97831D0124A</vt:lpwstr>
  </property>
</Properties>
</file>