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2C5B6">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highlight w:val="none"/>
          <w:shd w:val="clear" w:color="auto" w:fill="FFFFFF"/>
          <w:lang w:val="en-US" w:eastAsia="zh-CN"/>
        </w:rPr>
      </w:pPr>
      <w:r>
        <w:rPr>
          <w:rFonts w:hint="default" w:ascii="Times New Roman" w:hAnsi="Times New Roman" w:eastAsia="仿宋_GB2312" w:cs="Times New Roman"/>
          <w:sz w:val="32"/>
          <w:szCs w:val="32"/>
          <w:highlight w:val="none"/>
          <w:shd w:val="clear" w:color="auto" w:fill="FFFFFF"/>
          <w:lang w:val="en-US" w:eastAsia="zh-CN"/>
        </w:rPr>
        <w:t>附件1</w:t>
      </w:r>
    </w:p>
    <w:p w14:paraId="6E4A7A8E">
      <w:pPr>
        <w:adjustRightInd w:val="0"/>
        <w:snapToGrid w:val="0"/>
        <w:jc w:val="center"/>
        <w:rPr>
          <w:rFonts w:hint="default" w:ascii="Times New Roman" w:hAnsi="Times New Roman" w:eastAsia="方正小标宋简体" w:cs="Times New Roman"/>
          <w:color w:val="000000"/>
          <w:sz w:val="44"/>
          <w:szCs w:val="44"/>
          <w:highlight w:val="none"/>
        </w:rPr>
      </w:pPr>
    </w:p>
    <w:p w14:paraId="64073634">
      <w:pPr>
        <w:adjustRightInd w:val="0"/>
        <w:snapToGrid w:val="0"/>
        <w:ind w:firstLine="0" w:firstLineChars="0"/>
        <w:jc w:val="center"/>
        <w:rPr>
          <w:rFonts w:hint="default"/>
          <w:highlight w:val="none"/>
          <w:lang w:val="en-US"/>
        </w:rPr>
      </w:pPr>
      <w:r>
        <w:rPr>
          <w:rFonts w:hint="eastAsia" w:ascii="Times New Roman" w:hAnsi="Times New Roman" w:eastAsia="方正小标宋简体" w:cs="Times New Roman"/>
          <w:color w:val="000000"/>
          <w:sz w:val="44"/>
          <w:szCs w:val="44"/>
          <w:highlight w:val="none"/>
          <w:lang w:val="en-US" w:eastAsia="zh-CN"/>
        </w:rPr>
        <w:t>关于</w:t>
      </w:r>
      <w:r>
        <w:rPr>
          <w:rFonts w:hint="default" w:ascii="Times New Roman" w:hAnsi="Times New Roman" w:eastAsia="方正小标宋简体" w:cs="Times New Roman"/>
          <w:color w:val="000000"/>
          <w:sz w:val="44"/>
          <w:szCs w:val="44"/>
          <w:highlight w:val="none"/>
          <w:lang w:val="en-US" w:eastAsia="zh-CN"/>
        </w:rPr>
        <w:t>广州市白云区2024年度第二批次城镇建设用地</w:t>
      </w:r>
      <w:r>
        <w:rPr>
          <w:rFonts w:hint="default" w:ascii="Times New Roman" w:hAnsi="Times New Roman" w:eastAsia="方正小标宋简体" w:cs="Times New Roman"/>
          <w:color w:val="000000"/>
          <w:sz w:val="44"/>
          <w:szCs w:val="44"/>
          <w:highlight w:val="none"/>
        </w:rPr>
        <w:t>征</w:t>
      </w:r>
      <w:r>
        <w:rPr>
          <w:rFonts w:hint="default" w:ascii="Times New Roman" w:hAnsi="Times New Roman" w:eastAsia="方正小标宋简体" w:cs="Times New Roman"/>
          <w:color w:val="000000"/>
          <w:sz w:val="44"/>
          <w:szCs w:val="44"/>
          <w:highlight w:val="none"/>
          <w:lang w:val="en-US" w:eastAsia="zh-CN"/>
        </w:rPr>
        <w:t>地</w:t>
      </w:r>
      <w:r>
        <w:rPr>
          <w:rFonts w:hint="default" w:ascii="Times New Roman" w:hAnsi="Times New Roman" w:eastAsia="方正小标宋简体" w:cs="Times New Roman"/>
          <w:color w:val="000000"/>
          <w:sz w:val="44"/>
          <w:szCs w:val="44"/>
          <w:highlight w:val="none"/>
        </w:rPr>
        <w:t>补偿安置方案</w:t>
      </w:r>
      <w:r>
        <w:rPr>
          <w:rFonts w:hint="eastAsia" w:ascii="Times New Roman" w:hAnsi="Times New Roman" w:eastAsia="方正小标宋简体" w:cs="Times New Roman"/>
          <w:color w:val="000000"/>
          <w:sz w:val="44"/>
          <w:szCs w:val="44"/>
          <w:highlight w:val="none"/>
          <w:lang w:val="en-US" w:eastAsia="zh-CN"/>
        </w:rPr>
        <w:t>（3.9044公顷）</w:t>
      </w:r>
    </w:p>
    <w:p w14:paraId="2C7794DC">
      <w:pPr>
        <w:spacing w:line="500" w:lineRule="exact"/>
        <w:rPr>
          <w:rFonts w:hint="default" w:ascii="Times New Roman" w:hAnsi="Times New Roman" w:eastAsia="仿宋_GB2312" w:cs="Times New Roman"/>
          <w:sz w:val="32"/>
          <w:szCs w:val="32"/>
          <w:highlight w:val="none"/>
        </w:rPr>
      </w:pPr>
    </w:p>
    <w:p w14:paraId="36117C39">
      <w:pPr>
        <w:tabs>
          <w:tab w:val="left" w:pos="2160"/>
          <w:tab w:val="left" w:pos="2340"/>
          <w:tab w:val="left" w:pos="6480"/>
        </w:tabs>
        <w:spacing w:line="600" w:lineRule="exact"/>
        <w:ind w:right="0" w:rightChars="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为实施中新广州知识城建设规划，完善城市功能，改善城市环境，促进经济、文化发展，</w:t>
      </w:r>
      <w:r>
        <w:rPr>
          <w:rFonts w:hint="eastAsia" w:ascii="Times New Roman" w:hAnsi="Times New Roman" w:eastAsia="仿宋_GB2312" w:cs="Times New Roman"/>
          <w:sz w:val="32"/>
          <w:szCs w:val="32"/>
          <w:highlight w:val="none"/>
          <w:lang w:eastAsia="zh-CN"/>
        </w:rPr>
        <w:t>广州市黄埔区人民政府</w:t>
      </w:r>
      <w:r>
        <w:rPr>
          <w:rFonts w:hint="default" w:ascii="Times New Roman" w:hAnsi="Times New Roman" w:eastAsia="仿宋_GB2312" w:cs="Times New Roman"/>
          <w:sz w:val="32"/>
          <w:szCs w:val="32"/>
          <w:highlight w:val="none"/>
        </w:rPr>
        <w:t>拟征收</w:t>
      </w:r>
      <w:r>
        <w:rPr>
          <w:rFonts w:hint="eastAsia" w:ascii="Times New Roman" w:hAnsi="Times New Roman" w:eastAsia="仿宋_GB2312" w:cs="Times New Roman"/>
          <w:sz w:val="32"/>
          <w:szCs w:val="32"/>
          <w:highlight w:val="none"/>
          <w:lang w:val="en-US" w:eastAsia="zh-CN"/>
        </w:rPr>
        <w:t>我区</w:t>
      </w:r>
      <w:r>
        <w:rPr>
          <w:rFonts w:hint="eastAsia" w:ascii="Times New Roman" w:hAnsi="Times New Roman" w:eastAsia="仿宋_GB2312" w:cs="Times New Roman"/>
          <w:color w:val="000000"/>
          <w:sz w:val="32"/>
          <w:szCs w:val="32"/>
          <w:highlight w:val="none"/>
          <w:lang w:eastAsia="zh-CN" w:bidi="ar"/>
        </w:rPr>
        <w:t>九佛街凤尾村第九经济合作社、凤尾村第十经济合作社</w:t>
      </w:r>
      <w:r>
        <w:rPr>
          <w:rFonts w:hint="default" w:ascii="Times New Roman" w:hAnsi="Times New Roman" w:eastAsia="仿宋_GB2312" w:cs="Times New Roman"/>
          <w:color w:val="000000"/>
          <w:sz w:val="32"/>
          <w:szCs w:val="32"/>
          <w:highlight w:val="none"/>
          <w:lang w:val="en-US" w:eastAsia="zh-CN" w:bidi="ar"/>
        </w:rPr>
        <w:t>属下的</w:t>
      </w:r>
      <w:r>
        <w:rPr>
          <w:rFonts w:hint="default" w:ascii="Times New Roman" w:hAnsi="Times New Roman" w:eastAsia="仿宋_GB2312" w:cs="Times New Roman"/>
          <w:color w:val="000000"/>
          <w:sz w:val="32"/>
          <w:szCs w:val="32"/>
          <w:highlight w:val="none"/>
          <w:lang w:bidi="ar"/>
        </w:rPr>
        <w:t>集体土地合计</w:t>
      </w:r>
      <w:r>
        <w:rPr>
          <w:rFonts w:hint="eastAsia" w:ascii="Times New Roman" w:hAnsi="Times New Roman" w:eastAsia="仿宋_GB2312" w:cs="Times New Roman"/>
          <w:sz w:val="32"/>
          <w:szCs w:val="32"/>
          <w:highlight w:val="none"/>
          <w:u w:val="none"/>
          <w:lang w:val="en-US" w:eastAsia="zh-CN"/>
        </w:rPr>
        <w:t>3.9044公顷</w:t>
      </w:r>
      <w:r>
        <w:rPr>
          <w:rFonts w:hint="default" w:ascii="Times New Roman" w:hAnsi="Times New Roman" w:eastAsia="仿宋_GB2312" w:cs="Times New Roman"/>
          <w:sz w:val="32"/>
          <w:szCs w:val="32"/>
          <w:highlight w:val="none"/>
          <w:shd w:val="clear" w:color="auto" w:fill="FFFFFF"/>
          <w:lang w:val="en-US" w:eastAsia="zh-CN"/>
        </w:rPr>
        <w:t>。</w:t>
      </w:r>
      <w:r>
        <w:rPr>
          <w:rFonts w:hint="default" w:ascii="Times New Roman" w:hAnsi="Times New Roman" w:eastAsia="仿宋_GB2312" w:cs="Times New Roman"/>
          <w:sz w:val="32"/>
          <w:szCs w:val="32"/>
          <w:highlight w:val="none"/>
        </w:rPr>
        <w:t>根据《中华人民共和国土地管理法》第二条、第四十五条、第四十七条</w:t>
      </w:r>
      <w:r>
        <w:rPr>
          <w:rFonts w:hint="eastAsia" w:ascii="Times New Roman" w:hAnsi="Times New Roman" w:eastAsia="仿宋_GB2312" w:cs="Times New Roman"/>
          <w:sz w:val="32"/>
          <w:szCs w:val="32"/>
          <w:highlight w:val="none"/>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default" w:ascii="Times New Roman" w:hAnsi="Times New Roman" w:eastAsia="仿宋_GB2312" w:cs="Times New Roman"/>
          <w:sz w:val="32"/>
          <w:szCs w:val="32"/>
          <w:highlight w:val="none"/>
        </w:rPr>
        <w:t>结合我区</w:t>
      </w:r>
      <w:r>
        <w:rPr>
          <w:rFonts w:hint="default" w:ascii="Times New Roman" w:hAnsi="Times New Roman" w:eastAsia="仿宋_GB2312" w:cs="Times New Roman"/>
          <w:sz w:val="32"/>
          <w:szCs w:val="32"/>
          <w:highlight w:val="none"/>
          <w:lang w:val="en-US" w:eastAsia="zh-CN"/>
        </w:rPr>
        <w:t>的征收农用地区片综合地价和</w:t>
      </w:r>
      <w:r>
        <w:rPr>
          <w:rFonts w:hint="default" w:ascii="Times New Roman" w:hAnsi="Times New Roman" w:eastAsia="仿宋_GB2312" w:cs="Times New Roman"/>
          <w:sz w:val="32"/>
          <w:szCs w:val="32"/>
          <w:highlight w:val="none"/>
        </w:rPr>
        <w:t>实际情况</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拟定了征地补偿安置方案，具体如下：</w:t>
      </w:r>
    </w:p>
    <w:p w14:paraId="113A2286">
      <w:pPr>
        <w:tabs>
          <w:tab w:val="left" w:pos="2160"/>
          <w:tab w:val="left" w:pos="2340"/>
          <w:tab w:val="left" w:pos="6480"/>
        </w:tabs>
        <w:spacing w:line="600" w:lineRule="exact"/>
        <w:ind w:right="0" w:rightChars="0"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一、征收</w:t>
      </w:r>
      <w:r>
        <w:rPr>
          <w:rFonts w:hint="eastAsia" w:ascii="黑体" w:hAnsi="黑体" w:eastAsia="黑体" w:cs="黑体"/>
          <w:sz w:val="32"/>
          <w:szCs w:val="32"/>
          <w:highlight w:val="none"/>
          <w:lang w:eastAsia="zh-CN"/>
        </w:rPr>
        <w:t>范围</w:t>
      </w:r>
    </w:p>
    <w:p w14:paraId="717399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拟</w:t>
      </w:r>
      <w:r>
        <w:rPr>
          <w:rFonts w:hint="default" w:ascii="Times New Roman" w:hAnsi="Times New Roman" w:eastAsia="仿宋_GB2312" w:cs="Times New Roman"/>
          <w:sz w:val="32"/>
          <w:szCs w:val="32"/>
          <w:highlight w:val="none"/>
          <w:lang w:val="en-US" w:eastAsia="zh-CN"/>
        </w:rPr>
        <w:t>征收</w:t>
      </w:r>
      <w:r>
        <w:rPr>
          <w:rFonts w:hint="eastAsia" w:ascii="Times New Roman" w:hAnsi="Times New Roman" w:eastAsia="仿宋_GB2312" w:cs="Times New Roman"/>
          <w:sz w:val="32"/>
          <w:szCs w:val="32"/>
          <w:highlight w:val="none"/>
          <w:lang w:val="en-US" w:eastAsia="zh-CN"/>
        </w:rPr>
        <w:t>土地位于广州市黄埔区九佛街凤尾村第九经济合作社、凤尾村第十经济合作社范围内，具体位置详见附图。</w:t>
      </w:r>
    </w:p>
    <w:p w14:paraId="367BE8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实际征收土地范围以最终批准文件为准。</w:t>
      </w:r>
    </w:p>
    <w:p w14:paraId="15EEAE3C">
      <w:pPr>
        <w:keepNext w:val="0"/>
        <w:keepLines w:val="0"/>
        <w:pageBreakBefore w:val="0"/>
        <w:widowControl/>
        <w:tabs>
          <w:tab w:val="left" w:pos="2160"/>
          <w:tab w:val="left" w:pos="2340"/>
          <w:tab w:val="left" w:pos="6480"/>
        </w:tabs>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二、征收目的</w:t>
      </w:r>
    </w:p>
    <w:p w14:paraId="6362E995">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根据《中华人民共和国土地管理法》第四十五条的规定，本次征收土地目的为政府组织实施的社会福利等公共事业建设需要。</w:t>
      </w:r>
    </w:p>
    <w:p w14:paraId="15B96AB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napToGrid/>
          <w:color w:val="auto"/>
          <w:spacing w:val="0"/>
          <w:kern w:val="2"/>
          <w:sz w:val="32"/>
          <w:szCs w:val="32"/>
          <w:highlight w:val="none"/>
          <w:lang w:val="en-US" w:eastAsia="zh-CN"/>
        </w:rPr>
      </w:pPr>
      <w:r>
        <w:rPr>
          <w:rFonts w:hint="eastAsia" w:ascii="黑体" w:hAnsi="黑体" w:eastAsia="黑体" w:cs="黑体"/>
          <w:b w:val="0"/>
          <w:bCs w:val="0"/>
          <w:snapToGrid/>
          <w:color w:val="auto"/>
          <w:spacing w:val="0"/>
          <w:kern w:val="2"/>
          <w:sz w:val="32"/>
          <w:szCs w:val="32"/>
          <w:highlight w:val="none"/>
          <w:lang w:val="en-US" w:eastAsia="zh-CN"/>
        </w:rPr>
        <w:t>土地现状</w:t>
      </w:r>
    </w:p>
    <w:p w14:paraId="0274E4B0">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p w14:paraId="27A01467">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tbl>
      <w:tblPr>
        <w:tblStyle w:val="3"/>
        <w:tblW w:w="95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98"/>
        <w:gridCol w:w="817"/>
        <w:gridCol w:w="1000"/>
        <w:gridCol w:w="823"/>
        <w:gridCol w:w="1091"/>
        <w:gridCol w:w="1078"/>
      </w:tblGrid>
      <w:tr w14:paraId="666099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5" w:hRule="atLeast"/>
          <w:tblHeader/>
          <w:jc w:val="center"/>
        </w:trPr>
        <w:tc>
          <w:tcPr>
            <w:tcW w:w="4698" w:type="dxa"/>
            <w:tcBorders>
              <w:tl2br w:val="nil"/>
              <w:tr2bl w:val="nil"/>
            </w:tcBorders>
            <w:noWrap w:val="0"/>
            <w:vAlign w:val="center"/>
          </w:tcPr>
          <w:p w14:paraId="6BFAEA9E">
            <w:pPr>
              <w:widowControl/>
              <w:jc w:val="center"/>
              <w:rPr>
                <w:rFonts w:hint="eastAsia" w:ascii="Times New Roman" w:hAnsi="Times New Roman" w:eastAsia="仿宋_GB2312" w:cs="Times New Roman"/>
                <w:b/>
                <w:bCs/>
                <w:color w:val="000000"/>
                <w:kern w:val="0"/>
                <w:sz w:val="22"/>
                <w:szCs w:val="22"/>
                <w:highlight w:val="none"/>
                <w:lang w:eastAsia="zh-CN"/>
              </w:rPr>
            </w:pPr>
            <w:r>
              <w:rPr>
                <w:rFonts w:hint="eastAsia" w:ascii="Times New Roman" w:hAnsi="Times New Roman" w:eastAsia="仿宋_GB2312" w:cs="Times New Roman"/>
                <w:b/>
                <w:bCs/>
                <w:color w:val="000000"/>
                <w:kern w:val="0"/>
                <w:sz w:val="22"/>
                <w:szCs w:val="22"/>
                <w:highlight w:val="none"/>
                <w:lang w:eastAsia="zh-CN"/>
              </w:rPr>
              <w:t>被征地单位</w:t>
            </w:r>
          </w:p>
        </w:tc>
        <w:tc>
          <w:tcPr>
            <w:tcW w:w="817" w:type="dxa"/>
            <w:tcBorders>
              <w:tl2br w:val="nil"/>
              <w:tr2bl w:val="nil"/>
            </w:tcBorders>
            <w:noWrap w:val="0"/>
            <w:vAlign w:val="center"/>
          </w:tcPr>
          <w:p w14:paraId="02B18AE6">
            <w:pPr>
              <w:widowControl/>
              <w:jc w:val="center"/>
              <w:rPr>
                <w:rFonts w:hint="eastAsia" w:ascii="Times New Roman" w:hAnsi="Times New Roman" w:eastAsia="仿宋_GB2312" w:cs="Times New Roman"/>
                <w:b/>
                <w:bCs/>
                <w:color w:val="000000"/>
                <w:kern w:val="0"/>
                <w:sz w:val="22"/>
                <w:szCs w:val="22"/>
                <w:highlight w:val="none"/>
                <w:lang w:eastAsia="zh-CN"/>
              </w:rPr>
            </w:pPr>
            <w:r>
              <w:rPr>
                <w:rFonts w:hint="eastAsia" w:ascii="Times New Roman" w:hAnsi="Times New Roman" w:eastAsia="仿宋_GB2312" w:cs="Times New Roman"/>
                <w:b/>
                <w:bCs/>
                <w:color w:val="000000"/>
                <w:kern w:val="0"/>
                <w:sz w:val="22"/>
                <w:szCs w:val="22"/>
                <w:highlight w:val="none"/>
                <w:lang w:eastAsia="zh-CN"/>
              </w:rPr>
              <w:t>总面积</w:t>
            </w:r>
          </w:p>
        </w:tc>
        <w:tc>
          <w:tcPr>
            <w:tcW w:w="1000" w:type="dxa"/>
            <w:tcBorders>
              <w:tl2br w:val="nil"/>
              <w:tr2bl w:val="nil"/>
            </w:tcBorders>
            <w:noWrap w:val="0"/>
            <w:vAlign w:val="center"/>
          </w:tcPr>
          <w:p w14:paraId="6AF68627">
            <w:pPr>
              <w:widowControl/>
              <w:jc w:val="center"/>
              <w:rPr>
                <w:rFonts w:hint="default" w:ascii="Times New Roman" w:hAnsi="Times New Roman" w:eastAsia="仿宋_GB2312" w:cs="Times New Roman"/>
                <w:b/>
                <w:bCs/>
                <w:color w:val="000000"/>
                <w:kern w:val="0"/>
                <w:sz w:val="22"/>
                <w:szCs w:val="22"/>
                <w:highlight w:val="none"/>
              </w:rPr>
            </w:pPr>
            <w:r>
              <w:rPr>
                <w:rFonts w:hint="eastAsia" w:ascii="Times New Roman" w:hAnsi="Times New Roman" w:eastAsia="仿宋_GB2312" w:cs="Times New Roman"/>
                <w:b/>
                <w:bCs/>
                <w:color w:val="000000"/>
                <w:kern w:val="0"/>
                <w:sz w:val="22"/>
                <w:szCs w:val="22"/>
                <w:highlight w:val="none"/>
                <w:lang w:val="en-US" w:eastAsia="zh-CN"/>
              </w:rPr>
              <w:t>农用地面积</w:t>
            </w:r>
          </w:p>
        </w:tc>
        <w:tc>
          <w:tcPr>
            <w:tcW w:w="823" w:type="dxa"/>
            <w:tcBorders>
              <w:tl2br w:val="nil"/>
              <w:tr2bl w:val="nil"/>
            </w:tcBorders>
            <w:noWrap w:val="0"/>
            <w:vAlign w:val="center"/>
          </w:tcPr>
          <w:p w14:paraId="1FCF0D0F">
            <w:pPr>
              <w:widowControl/>
              <w:jc w:val="center"/>
              <w:rPr>
                <w:rFonts w:hint="eastAsia" w:ascii="Times New Roman" w:hAnsi="Times New Roman" w:eastAsia="仿宋_GB2312" w:cs="Times New Roman"/>
                <w:b/>
                <w:bCs/>
                <w:color w:val="000000"/>
                <w:kern w:val="0"/>
                <w:sz w:val="22"/>
                <w:szCs w:val="22"/>
                <w:highlight w:val="none"/>
                <w:lang w:val="en-US" w:eastAsia="zh-CN"/>
              </w:rPr>
            </w:pPr>
            <w:r>
              <w:rPr>
                <w:rFonts w:hint="eastAsia" w:ascii="Times New Roman" w:hAnsi="Times New Roman" w:eastAsia="仿宋_GB2312" w:cs="Times New Roman"/>
                <w:b/>
                <w:bCs/>
                <w:color w:val="000000"/>
                <w:kern w:val="0"/>
                <w:sz w:val="22"/>
                <w:szCs w:val="22"/>
                <w:highlight w:val="none"/>
                <w:lang w:val="en-US" w:eastAsia="zh-CN"/>
              </w:rPr>
              <w:t>耕地</w:t>
            </w:r>
          </w:p>
          <w:p w14:paraId="4CE0F704">
            <w:pPr>
              <w:widowControl/>
              <w:jc w:val="center"/>
              <w:rPr>
                <w:rFonts w:hint="default" w:ascii="Times New Roman" w:hAnsi="Times New Roman" w:eastAsia="仿宋_GB2312" w:cs="Times New Roman"/>
                <w:b/>
                <w:bCs/>
                <w:color w:val="000000"/>
                <w:kern w:val="0"/>
                <w:sz w:val="22"/>
                <w:szCs w:val="22"/>
                <w:highlight w:val="none"/>
                <w:lang w:val="en-US"/>
              </w:rPr>
            </w:pPr>
            <w:r>
              <w:rPr>
                <w:rFonts w:hint="eastAsia" w:ascii="Times New Roman" w:hAnsi="Times New Roman" w:eastAsia="仿宋_GB2312" w:cs="Times New Roman"/>
                <w:b/>
                <w:bCs/>
                <w:color w:val="000000"/>
                <w:kern w:val="0"/>
                <w:sz w:val="22"/>
                <w:szCs w:val="22"/>
                <w:highlight w:val="none"/>
                <w:lang w:val="en-US" w:eastAsia="zh-CN"/>
              </w:rPr>
              <w:t>面积</w:t>
            </w:r>
          </w:p>
        </w:tc>
        <w:tc>
          <w:tcPr>
            <w:tcW w:w="1091" w:type="dxa"/>
            <w:tcBorders>
              <w:tl2br w:val="nil"/>
              <w:tr2bl w:val="nil"/>
            </w:tcBorders>
            <w:noWrap w:val="0"/>
            <w:vAlign w:val="center"/>
          </w:tcPr>
          <w:p w14:paraId="79ADD8A2">
            <w:pPr>
              <w:widowControl/>
              <w:jc w:val="center"/>
              <w:rPr>
                <w:rFonts w:hint="default" w:ascii="Times New Roman" w:hAnsi="Times New Roman" w:eastAsia="仿宋_GB2312" w:cs="Times New Roman"/>
                <w:b/>
                <w:bCs/>
                <w:color w:val="000000"/>
                <w:kern w:val="0"/>
                <w:sz w:val="22"/>
                <w:szCs w:val="22"/>
                <w:highlight w:val="none"/>
              </w:rPr>
            </w:pPr>
            <w:r>
              <w:rPr>
                <w:rFonts w:hint="eastAsia" w:ascii="Times New Roman" w:hAnsi="Times New Roman" w:eastAsia="仿宋_GB2312" w:cs="Times New Roman"/>
                <w:b/>
                <w:bCs/>
                <w:color w:val="000000"/>
                <w:kern w:val="0"/>
                <w:sz w:val="22"/>
                <w:szCs w:val="22"/>
                <w:highlight w:val="none"/>
                <w:lang w:val="en-US" w:eastAsia="zh-CN"/>
              </w:rPr>
              <w:t>建设用地面积</w:t>
            </w:r>
          </w:p>
        </w:tc>
        <w:tc>
          <w:tcPr>
            <w:tcW w:w="1078" w:type="dxa"/>
            <w:tcBorders>
              <w:tl2br w:val="nil"/>
              <w:tr2bl w:val="nil"/>
            </w:tcBorders>
            <w:noWrap w:val="0"/>
            <w:vAlign w:val="center"/>
          </w:tcPr>
          <w:p w14:paraId="2AADED18">
            <w:pPr>
              <w:widowControl/>
              <w:jc w:val="center"/>
              <w:rPr>
                <w:rFonts w:hint="default" w:ascii="Times New Roman" w:hAnsi="Times New Roman" w:eastAsia="仿宋_GB2312" w:cs="Times New Roman"/>
                <w:b/>
                <w:bCs/>
                <w:color w:val="000000"/>
                <w:kern w:val="0"/>
                <w:sz w:val="22"/>
                <w:szCs w:val="22"/>
                <w:highlight w:val="none"/>
                <w:lang w:val="en-US"/>
              </w:rPr>
            </w:pPr>
            <w:r>
              <w:rPr>
                <w:rFonts w:hint="eastAsia" w:ascii="Times New Roman" w:hAnsi="Times New Roman" w:eastAsia="仿宋_GB2312" w:cs="Times New Roman"/>
                <w:b/>
                <w:bCs/>
                <w:color w:val="000000"/>
                <w:kern w:val="0"/>
                <w:sz w:val="22"/>
                <w:szCs w:val="22"/>
                <w:highlight w:val="none"/>
                <w:lang w:val="en-US" w:eastAsia="zh-CN"/>
              </w:rPr>
              <w:t>未利用地面积</w:t>
            </w:r>
          </w:p>
        </w:tc>
      </w:tr>
      <w:tr w14:paraId="298792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9" w:hRule="atLeast"/>
          <w:jc w:val="center"/>
        </w:trPr>
        <w:tc>
          <w:tcPr>
            <w:tcW w:w="4698" w:type="dxa"/>
            <w:tcBorders>
              <w:tl2br w:val="nil"/>
              <w:tr2bl w:val="nil"/>
            </w:tcBorders>
            <w:noWrap w:val="0"/>
            <w:vAlign w:val="center"/>
          </w:tcPr>
          <w:p w14:paraId="7A58310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广州市黄埔区九佛街凤尾村第九经济合作社</w:t>
            </w:r>
          </w:p>
        </w:tc>
        <w:tc>
          <w:tcPr>
            <w:tcW w:w="817" w:type="dxa"/>
            <w:tcBorders>
              <w:tl2br w:val="nil"/>
              <w:tr2bl w:val="nil"/>
            </w:tcBorders>
            <w:noWrap w:val="0"/>
            <w:vAlign w:val="center"/>
          </w:tcPr>
          <w:p w14:paraId="71071E7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 xml:space="preserve">3.6791 </w:t>
            </w:r>
          </w:p>
        </w:tc>
        <w:tc>
          <w:tcPr>
            <w:tcW w:w="1000" w:type="dxa"/>
            <w:tcBorders>
              <w:tl2br w:val="nil"/>
              <w:tr2bl w:val="nil"/>
            </w:tcBorders>
            <w:noWrap w:val="0"/>
            <w:vAlign w:val="center"/>
          </w:tcPr>
          <w:p w14:paraId="52A8708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3.6741</w:t>
            </w:r>
          </w:p>
        </w:tc>
        <w:tc>
          <w:tcPr>
            <w:tcW w:w="823" w:type="dxa"/>
            <w:tcBorders>
              <w:tl2br w:val="nil"/>
              <w:tr2bl w:val="nil"/>
            </w:tcBorders>
            <w:noWrap w:val="0"/>
            <w:vAlign w:val="center"/>
          </w:tcPr>
          <w:p w14:paraId="3EA5148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 xml:space="preserve">0.0000 </w:t>
            </w:r>
          </w:p>
        </w:tc>
        <w:tc>
          <w:tcPr>
            <w:tcW w:w="1091" w:type="dxa"/>
            <w:tcBorders>
              <w:tl2br w:val="nil"/>
              <w:tr2bl w:val="nil"/>
            </w:tcBorders>
            <w:noWrap w:val="0"/>
            <w:vAlign w:val="center"/>
          </w:tcPr>
          <w:p w14:paraId="7A8C78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0.0050</w:t>
            </w:r>
          </w:p>
        </w:tc>
        <w:tc>
          <w:tcPr>
            <w:tcW w:w="1078" w:type="dxa"/>
            <w:tcBorders>
              <w:tl2br w:val="nil"/>
              <w:tr2bl w:val="nil"/>
            </w:tcBorders>
            <w:noWrap w:val="0"/>
            <w:vAlign w:val="center"/>
          </w:tcPr>
          <w:p w14:paraId="29A1D26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0.0000</w:t>
            </w:r>
          </w:p>
        </w:tc>
      </w:tr>
      <w:tr w14:paraId="2CA53B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9" w:hRule="atLeast"/>
          <w:jc w:val="center"/>
        </w:trPr>
        <w:tc>
          <w:tcPr>
            <w:tcW w:w="4698" w:type="dxa"/>
            <w:tcBorders>
              <w:tl2br w:val="nil"/>
              <w:tr2bl w:val="nil"/>
            </w:tcBorders>
            <w:noWrap w:val="0"/>
            <w:vAlign w:val="center"/>
          </w:tcPr>
          <w:p w14:paraId="5286BFC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广州市黄埔区九佛街凤尾村第十经济合作社</w:t>
            </w:r>
          </w:p>
        </w:tc>
        <w:tc>
          <w:tcPr>
            <w:tcW w:w="817" w:type="dxa"/>
            <w:tcBorders>
              <w:tl2br w:val="nil"/>
              <w:tr2bl w:val="nil"/>
            </w:tcBorders>
            <w:noWrap w:val="0"/>
            <w:vAlign w:val="center"/>
          </w:tcPr>
          <w:p w14:paraId="414F202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 xml:space="preserve">0.2253 </w:t>
            </w:r>
          </w:p>
        </w:tc>
        <w:tc>
          <w:tcPr>
            <w:tcW w:w="1000" w:type="dxa"/>
            <w:tcBorders>
              <w:tl2br w:val="nil"/>
              <w:tr2bl w:val="nil"/>
            </w:tcBorders>
            <w:noWrap w:val="0"/>
            <w:vAlign w:val="center"/>
          </w:tcPr>
          <w:p w14:paraId="7E3875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0.2253</w:t>
            </w:r>
          </w:p>
        </w:tc>
        <w:tc>
          <w:tcPr>
            <w:tcW w:w="823" w:type="dxa"/>
            <w:tcBorders>
              <w:tl2br w:val="nil"/>
              <w:tr2bl w:val="nil"/>
            </w:tcBorders>
            <w:noWrap w:val="0"/>
            <w:vAlign w:val="center"/>
          </w:tcPr>
          <w:p w14:paraId="5E433F9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 xml:space="preserve">0.0000 </w:t>
            </w:r>
          </w:p>
        </w:tc>
        <w:tc>
          <w:tcPr>
            <w:tcW w:w="1091" w:type="dxa"/>
            <w:tcBorders>
              <w:tl2br w:val="nil"/>
              <w:tr2bl w:val="nil"/>
            </w:tcBorders>
            <w:noWrap w:val="0"/>
            <w:vAlign w:val="center"/>
          </w:tcPr>
          <w:p w14:paraId="124D431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0.0000</w:t>
            </w:r>
          </w:p>
        </w:tc>
        <w:tc>
          <w:tcPr>
            <w:tcW w:w="1078" w:type="dxa"/>
            <w:tcBorders>
              <w:tl2br w:val="nil"/>
              <w:tr2bl w:val="nil"/>
            </w:tcBorders>
            <w:noWrap w:val="0"/>
            <w:vAlign w:val="center"/>
          </w:tcPr>
          <w:p w14:paraId="4D6C010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highlight w:val="none"/>
                <w:u w:val="none"/>
                <w:lang w:val="en-US" w:eastAsia="zh-CN" w:bidi="ar"/>
              </w:rPr>
            </w:pPr>
            <w:r>
              <w:rPr>
                <w:rFonts w:hint="eastAsia" w:ascii="Times New Roman" w:hAnsi="Times New Roman" w:eastAsia="宋体" w:cs="Times New Roman"/>
                <w:i w:val="0"/>
                <w:iCs w:val="0"/>
                <w:color w:val="000000"/>
                <w:kern w:val="0"/>
                <w:sz w:val="21"/>
                <w:szCs w:val="21"/>
                <w:highlight w:val="none"/>
                <w:u w:val="none"/>
                <w:lang w:val="en-US" w:eastAsia="zh-CN" w:bidi="ar"/>
              </w:rPr>
              <w:t>0.0000</w:t>
            </w:r>
          </w:p>
        </w:tc>
      </w:tr>
      <w:tr w14:paraId="0B0332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9" w:hRule="atLeast"/>
          <w:jc w:val="center"/>
        </w:trPr>
        <w:tc>
          <w:tcPr>
            <w:tcW w:w="4698" w:type="dxa"/>
            <w:tcBorders>
              <w:tl2br w:val="nil"/>
              <w:tr2bl w:val="nil"/>
            </w:tcBorders>
            <w:noWrap w:val="0"/>
            <w:vAlign w:val="center"/>
          </w:tcPr>
          <w:p w14:paraId="4E7045CF">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eastAsia="仿宋_GB2312" w:cs="仿宋_GB2312"/>
                <w:b/>
                <w:bCs/>
                <w:i w:val="0"/>
                <w:iCs w:val="0"/>
                <w:color w:val="000000"/>
                <w:kern w:val="0"/>
                <w:sz w:val="21"/>
                <w:szCs w:val="21"/>
                <w:highlight w:val="none"/>
                <w:u w:val="none"/>
                <w:lang w:val="en-US" w:eastAsia="zh-CN" w:bidi="ar"/>
              </w:rPr>
              <w:t>总计</w:t>
            </w:r>
          </w:p>
        </w:tc>
        <w:tc>
          <w:tcPr>
            <w:tcW w:w="817" w:type="dxa"/>
            <w:tcBorders>
              <w:tl2br w:val="nil"/>
              <w:tr2bl w:val="nil"/>
            </w:tcBorders>
            <w:noWrap w:val="0"/>
            <w:vAlign w:val="center"/>
          </w:tcPr>
          <w:p w14:paraId="49E3FA36">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none"/>
                <w:lang w:val="en-US" w:eastAsia="zh-CN" w:bidi="ar"/>
              </w:rPr>
            </w:pPr>
            <w:r>
              <w:rPr>
                <w:rFonts w:hint="eastAsia" w:ascii="Times New Roman" w:hAnsi="Times New Roman" w:eastAsia="宋体" w:cs="Times New Roman"/>
                <w:b/>
                <w:bCs/>
                <w:i w:val="0"/>
                <w:iCs w:val="0"/>
                <w:color w:val="000000"/>
                <w:kern w:val="0"/>
                <w:sz w:val="21"/>
                <w:szCs w:val="21"/>
                <w:highlight w:val="none"/>
                <w:u w:val="none"/>
                <w:lang w:val="en-US" w:eastAsia="zh-CN" w:bidi="ar"/>
              </w:rPr>
              <w:t>3.9044</w:t>
            </w:r>
          </w:p>
        </w:tc>
        <w:tc>
          <w:tcPr>
            <w:tcW w:w="1000" w:type="dxa"/>
            <w:tcBorders>
              <w:tl2br w:val="nil"/>
              <w:tr2bl w:val="nil"/>
            </w:tcBorders>
            <w:noWrap w:val="0"/>
            <w:vAlign w:val="center"/>
          </w:tcPr>
          <w:p w14:paraId="35614F50">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1"/>
                <w:szCs w:val="21"/>
                <w:highlight w:val="none"/>
                <w:u w:val="none"/>
                <w:lang w:val="en-US" w:eastAsia="zh-CN" w:bidi="ar"/>
              </w:rPr>
            </w:pPr>
            <w:r>
              <w:rPr>
                <w:rFonts w:hint="eastAsia" w:ascii="Times New Roman" w:hAnsi="Times New Roman" w:eastAsia="宋体" w:cs="Times New Roman"/>
                <w:b/>
                <w:bCs/>
                <w:i w:val="0"/>
                <w:iCs w:val="0"/>
                <w:color w:val="000000"/>
                <w:kern w:val="0"/>
                <w:sz w:val="21"/>
                <w:szCs w:val="21"/>
                <w:highlight w:val="none"/>
                <w:u w:val="none"/>
                <w:lang w:val="en-US" w:eastAsia="zh-CN" w:bidi="ar"/>
              </w:rPr>
              <w:t xml:space="preserve">3.8994 </w:t>
            </w:r>
          </w:p>
        </w:tc>
        <w:tc>
          <w:tcPr>
            <w:tcW w:w="823" w:type="dxa"/>
            <w:tcBorders>
              <w:tl2br w:val="nil"/>
              <w:tr2bl w:val="nil"/>
            </w:tcBorders>
            <w:noWrap w:val="0"/>
            <w:vAlign w:val="center"/>
          </w:tcPr>
          <w:p w14:paraId="42078630">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1"/>
                <w:szCs w:val="21"/>
                <w:highlight w:val="none"/>
                <w:u w:val="none"/>
                <w:lang w:val="en-US" w:eastAsia="zh-CN" w:bidi="ar"/>
              </w:rPr>
            </w:pPr>
            <w:r>
              <w:rPr>
                <w:rFonts w:hint="eastAsia" w:ascii="Times New Roman" w:hAnsi="Times New Roman" w:eastAsia="宋体" w:cs="Times New Roman"/>
                <w:b/>
                <w:bCs/>
                <w:i w:val="0"/>
                <w:iCs w:val="0"/>
                <w:color w:val="000000"/>
                <w:kern w:val="0"/>
                <w:sz w:val="21"/>
                <w:szCs w:val="21"/>
                <w:highlight w:val="none"/>
                <w:u w:val="none"/>
                <w:lang w:val="en-US" w:eastAsia="zh-CN" w:bidi="ar"/>
              </w:rPr>
              <w:t xml:space="preserve">0.0000 </w:t>
            </w:r>
          </w:p>
        </w:tc>
        <w:tc>
          <w:tcPr>
            <w:tcW w:w="1091" w:type="dxa"/>
            <w:tcBorders>
              <w:tl2br w:val="nil"/>
              <w:tr2bl w:val="nil"/>
            </w:tcBorders>
            <w:noWrap w:val="0"/>
            <w:vAlign w:val="center"/>
          </w:tcPr>
          <w:p w14:paraId="129C53D2">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none"/>
                <w:lang w:val="en-US" w:eastAsia="zh-CN" w:bidi="ar"/>
              </w:rPr>
            </w:pPr>
            <w:r>
              <w:rPr>
                <w:rFonts w:hint="eastAsia" w:ascii="Times New Roman" w:hAnsi="Times New Roman" w:eastAsia="宋体" w:cs="Times New Roman"/>
                <w:b/>
                <w:bCs/>
                <w:i w:val="0"/>
                <w:iCs w:val="0"/>
                <w:color w:val="000000"/>
                <w:kern w:val="0"/>
                <w:sz w:val="21"/>
                <w:szCs w:val="21"/>
                <w:highlight w:val="none"/>
                <w:u w:val="none"/>
                <w:lang w:val="en-US" w:eastAsia="zh-CN" w:bidi="ar"/>
              </w:rPr>
              <w:t>0.0050</w:t>
            </w:r>
          </w:p>
        </w:tc>
        <w:tc>
          <w:tcPr>
            <w:tcW w:w="1078" w:type="dxa"/>
            <w:tcBorders>
              <w:tl2br w:val="nil"/>
              <w:tr2bl w:val="nil"/>
            </w:tcBorders>
            <w:noWrap w:val="0"/>
            <w:vAlign w:val="center"/>
          </w:tcPr>
          <w:p w14:paraId="7B0C423F">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highlight w:val="none"/>
                <w:u w:val="none"/>
                <w:lang w:val="en-US" w:eastAsia="zh-CN" w:bidi="ar"/>
              </w:rPr>
            </w:pPr>
            <w:r>
              <w:rPr>
                <w:rFonts w:hint="eastAsia" w:ascii="Times New Roman" w:hAnsi="Times New Roman" w:eastAsia="宋体" w:cs="Times New Roman"/>
                <w:b/>
                <w:bCs/>
                <w:i w:val="0"/>
                <w:iCs w:val="0"/>
                <w:color w:val="000000"/>
                <w:kern w:val="0"/>
                <w:sz w:val="21"/>
                <w:szCs w:val="21"/>
                <w:highlight w:val="none"/>
                <w:u w:val="none"/>
                <w:lang w:val="en-US" w:eastAsia="zh-CN" w:bidi="ar"/>
              </w:rPr>
              <w:t xml:space="preserve">0.0000 </w:t>
            </w:r>
          </w:p>
        </w:tc>
      </w:tr>
    </w:tbl>
    <w:p w14:paraId="6CD3A92C">
      <w:pPr>
        <w:numPr>
          <w:ilvl w:val="-1"/>
          <w:numId w:val="0"/>
        </w:numPr>
        <w:spacing w:line="600" w:lineRule="exact"/>
        <w:ind w:left="0" w:leftChars="0"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四、补偿方式和标准</w:t>
      </w:r>
    </w:p>
    <w:p w14:paraId="7D8088B9">
      <w:pPr>
        <w:numPr>
          <w:ilvl w:val="-1"/>
          <w:numId w:val="0"/>
        </w:numPr>
        <w:spacing w:line="600" w:lineRule="exact"/>
        <w:ind w:left="0" w:leftChars="0"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（一）土地补偿费和安置补助费标准</w:t>
      </w:r>
    </w:p>
    <w:p w14:paraId="28DD0026">
      <w:pPr>
        <w:numPr>
          <w:ilvl w:val="-1"/>
          <w:numId w:val="0"/>
        </w:numPr>
        <w:spacing w:line="600" w:lineRule="exact"/>
        <w:ind w:left="0" w:leftChars="0"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根据《广东省自然资源厅关于广州市征收农用地区片综合地价成果的批复》（粤自然资函〔202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103</w:t>
      </w:r>
      <w:r>
        <w:rPr>
          <w:rFonts w:hint="default" w:ascii="Times New Roman" w:hAnsi="Times New Roman" w:eastAsia="仿宋_GB2312" w:cs="Times New Roman"/>
          <w:sz w:val="32"/>
          <w:szCs w:val="32"/>
          <w:highlight w:val="none"/>
          <w:lang w:val="en-US" w:eastAsia="zh-CN"/>
        </w:rPr>
        <w:t>号）的规定，土地补偿标准为</w:t>
      </w:r>
      <w:r>
        <w:rPr>
          <w:rFonts w:hint="eastAsia" w:ascii="Times New Roman" w:hAnsi="Times New Roman" w:eastAsia="仿宋_GB2312" w:cs="Times New Roman"/>
          <w:sz w:val="32"/>
          <w:szCs w:val="32"/>
          <w:highlight w:val="none"/>
          <w:lang w:val="en-US" w:eastAsia="zh-CN"/>
        </w:rPr>
        <w:t>70.2</w:t>
      </w:r>
      <w:r>
        <w:rPr>
          <w:rFonts w:hint="default" w:ascii="Times New Roman" w:hAnsi="Times New Roman" w:eastAsia="仿宋_GB2312" w:cs="Times New Roman"/>
          <w:sz w:val="32"/>
          <w:szCs w:val="32"/>
          <w:highlight w:val="none"/>
          <w:lang w:val="en-US" w:eastAsia="zh-CN"/>
        </w:rPr>
        <w:t>万元/公顷，安置补助标准为</w:t>
      </w:r>
      <w:r>
        <w:rPr>
          <w:rFonts w:hint="eastAsia" w:ascii="Times New Roman" w:hAnsi="Times New Roman" w:eastAsia="仿宋_GB2312" w:cs="Times New Roman"/>
          <w:sz w:val="32"/>
          <w:szCs w:val="32"/>
          <w:highlight w:val="none"/>
          <w:lang w:val="en-US" w:eastAsia="zh-CN"/>
        </w:rPr>
        <w:t>124.8</w:t>
      </w:r>
      <w:r>
        <w:rPr>
          <w:rFonts w:hint="default" w:ascii="Times New Roman" w:hAnsi="Times New Roman" w:eastAsia="仿宋_GB2312" w:cs="Times New Roman"/>
          <w:sz w:val="32"/>
          <w:szCs w:val="32"/>
          <w:highlight w:val="none"/>
          <w:lang w:val="en-US" w:eastAsia="zh-CN"/>
        </w:rPr>
        <w:t>万元/公顷。</w:t>
      </w:r>
    </w:p>
    <w:p w14:paraId="5FD7C3D4">
      <w:pPr>
        <w:numPr>
          <w:ilvl w:val="-1"/>
          <w:numId w:val="0"/>
        </w:numPr>
        <w:spacing w:line="600" w:lineRule="exact"/>
        <w:ind w:left="0" w:leftChars="0"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（二）农村村民住宅补偿</w:t>
      </w:r>
    </w:p>
    <w:p w14:paraId="7AF8E86F">
      <w:pPr>
        <w:numPr>
          <w:ilvl w:val="-1"/>
          <w:numId w:val="0"/>
        </w:numPr>
        <w:spacing w:line="600" w:lineRule="exact"/>
        <w:ind w:left="0" w:leftChars="0"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征地范围内的农村村民住宅按黄埔区政府有关规定进行补偿。</w:t>
      </w:r>
    </w:p>
    <w:p w14:paraId="62F882E9">
      <w:pPr>
        <w:numPr>
          <w:ilvl w:val="-1"/>
          <w:numId w:val="0"/>
        </w:numPr>
        <w:spacing w:line="600" w:lineRule="exact"/>
        <w:ind w:left="0" w:leftChars="0"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（三）青苗及其他地上附着物补偿</w:t>
      </w:r>
    </w:p>
    <w:p w14:paraId="43BB096A">
      <w:pPr>
        <w:numPr>
          <w:ilvl w:val="-1"/>
          <w:numId w:val="0"/>
        </w:numPr>
        <w:spacing w:line="600" w:lineRule="exact"/>
        <w:ind w:left="0" w:leftChars="0"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征地范围内的青苗补偿费和附着物补偿费按黄埔区政府有关规定进行补偿。</w:t>
      </w:r>
    </w:p>
    <w:p w14:paraId="371FC2B0">
      <w:pPr>
        <w:numPr>
          <w:ilvl w:val="-1"/>
          <w:numId w:val="0"/>
        </w:numPr>
        <w:spacing w:line="600" w:lineRule="exact"/>
        <w:ind w:left="0" w:leftChars="0" w:firstLine="640" w:firstLineChars="200"/>
        <w:rPr>
          <w:rFonts w:hint="eastAsia" w:ascii="Times New Roman" w:hAnsi="Times New Roman" w:eastAsia="仿宋_GB2312" w:cs="Times New Roman"/>
          <w:sz w:val="32"/>
          <w:szCs w:val="32"/>
          <w:highlight w:val="none"/>
        </w:rPr>
      </w:pPr>
      <w:r>
        <w:rPr>
          <w:rFonts w:hint="eastAsia" w:ascii="黑体" w:hAnsi="黑体" w:eastAsia="黑体" w:cs="黑体"/>
          <w:i w:val="0"/>
          <w:iCs w:val="0"/>
          <w:caps w:val="0"/>
          <w:spacing w:val="0"/>
          <w:sz w:val="32"/>
          <w:szCs w:val="32"/>
          <w:highlight w:val="none"/>
          <w:shd w:val="clear"/>
          <w:lang w:eastAsia="zh-CN"/>
        </w:rPr>
        <w:t>五、安置对象</w:t>
      </w:r>
    </w:p>
    <w:p w14:paraId="164C56CD">
      <w:pPr>
        <w:numPr>
          <w:ilvl w:val="-1"/>
          <w:numId w:val="0"/>
        </w:numPr>
        <w:spacing w:line="600" w:lineRule="exact"/>
        <w:ind w:left="0" w:leftChars="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1BC754C8">
      <w:pPr>
        <w:spacing w:line="60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六、安置方式和社会保障</w:t>
      </w:r>
    </w:p>
    <w:p w14:paraId="1C2CE293">
      <w:pPr>
        <w:pageBreakBefore w:val="0"/>
        <w:numPr>
          <w:ilvl w:val="-1"/>
          <w:numId w:val="0"/>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14:paraId="121AC9CA">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相关规定，按实际征收土地面积的10%安排留用地，</w:t>
      </w:r>
      <w:r>
        <w:rPr>
          <w:rFonts w:hint="eastAsia" w:ascii="Times New Roman" w:hAnsi="Times New Roman" w:eastAsia="仿宋_GB2312" w:cs="Times New Roman"/>
          <w:sz w:val="32"/>
          <w:szCs w:val="32"/>
          <w:highlight w:val="none"/>
          <w:lang w:val="en-US" w:eastAsia="zh-CN"/>
        </w:rPr>
        <w:t>留用地兑现方式为折算货币补偿</w:t>
      </w:r>
      <w:r>
        <w:rPr>
          <w:rFonts w:hint="default" w:ascii="Times New Roman" w:hAnsi="Times New Roman" w:eastAsia="仿宋_GB2312" w:cs="Times New Roman"/>
          <w:sz w:val="32"/>
          <w:szCs w:val="32"/>
          <w:highlight w:val="none"/>
          <w:lang w:val="en-US" w:eastAsia="zh-CN"/>
        </w:rPr>
        <w:t>。</w:t>
      </w:r>
    </w:p>
    <w:p w14:paraId="16400CA1">
      <w:pPr>
        <w:spacing w:line="60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（三）社会保障费用。根据《广东省人民政府办公厅转发省人力资源社会保障厅关于进一步完善我省被征地农民养老保障政策意见的通知》（粤府办〔2021〕22号）规定，核定征地项目涉及应纳入</w:t>
      </w:r>
      <w:r>
        <w:rPr>
          <w:rFonts w:hint="default" w:ascii="Times New Roman" w:hAnsi="Times New Roman" w:eastAsia="仿宋_GB2312" w:cs="Times New Roman"/>
          <w:color w:val="auto"/>
          <w:sz w:val="32"/>
          <w:szCs w:val="32"/>
          <w:highlight w:val="none"/>
          <w:lang w:bidi="ar"/>
        </w:rPr>
        <w:t>养老保障范围的被征地农民人数为</w:t>
      </w:r>
      <w:r>
        <w:rPr>
          <w:rFonts w:hint="eastAsia" w:ascii="Times New Roman" w:hAnsi="Times New Roman" w:eastAsia="仿宋_GB2312" w:cs="Times New Roman"/>
          <w:color w:val="auto"/>
          <w:sz w:val="32"/>
          <w:szCs w:val="32"/>
          <w:highlight w:val="none"/>
          <w:lang w:val="en-US" w:eastAsia="zh-CN" w:bidi="ar"/>
        </w:rPr>
        <w:t>10</w:t>
      </w:r>
      <w:r>
        <w:rPr>
          <w:rFonts w:hint="default" w:ascii="Times New Roman" w:hAnsi="Times New Roman" w:eastAsia="仿宋_GB2312" w:cs="Times New Roman"/>
          <w:color w:val="auto"/>
          <w:sz w:val="32"/>
          <w:szCs w:val="32"/>
          <w:highlight w:val="none"/>
          <w:lang w:bidi="ar"/>
        </w:rPr>
        <w:t>人，按每人16200元标准一次性计提被征地农民养老保障资金共</w:t>
      </w:r>
      <w:r>
        <w:rPr>
          <w:rFonts w:hint="eastAsia" w:ascii="Times New Roman" w:hAnsi="Times New Roman" w:eastAsia="仿宋_GB2312" w:cs="Times New Roman"/>
          <w:color w:val="auto"/>
          <w:sz w:val="32"/>
          <w:szCs w:val="32"/>
          <w:highlight w:val="none"/>
          <w:lang w:val="en-US" w:eastAsia="zh-CN" w:bidi="ar"/>
        </w:rPr>
        <w:t>16.2</w:t>
      </w:r>
      <w:r>
        <w:rPr>
          <w:rFonts w:hint="default" w:ascii="Times New Roman" w:hAnsi="Times New Roman" w:eastAsia="仿宋_GB2312" w:cs="Times New Roman"/>
          <w:color w:val="auto"/>
          <w:sz w:val="32"/>
          <w:szCs w:val="32"/>
          <w:highlight w:val="none"/>
          <w:lang w:bidi="ar"/>
        </w:rPr>
        <w:t>万元</w:t>
      </w:r>
      <w:r>
        <w:rPr>
          <w:rFonts w:hint="default" w:ascii="Times New Roman" w:hAnsi="Times New Roman" w:eastAsia="仿宋_GB2312" w:cs="Times New Roman"/>
          <w:sz w:val="32"/>
          <w:szCs w:val="32"/>
          <w:highlight w:val="none"/>
          <w:lang w:val="en-US" w:eastAsia="zh-CN"/>
        </w:rPr>
        <w:t>存入“收缴被征地农民养老保障资金过渡户”，专款用于被征地农民缴纳养老保险费用。征地批准文件批复的实际范围有变化的，</w:t>
      </w:r>
      <w:r>
        <w:rPr>
          <w:rFonts w:hint="default" w:ascii="Times New Roman" w:hAnsi="Times New Roman" w:eastAsia="仿宋_GB2312" w:cs="Times New Roman"/>
          <w:b w:val="0"/>
          <w:bCs w:val="0"/>
          <w:snapToGrid/>
          <w:color w:val="auto"/>
          <w:spacing w:val="0"/>
          <w:kern w:val="2"/>
          <w:sz w:val="32"/>
          <w:szCs w:val="32"/>
          <w:highlight w:val="none"/>
          <w:lang w:val="en-US" w:eastAsia="zh-CN"/>
        </w:rPr>
        <w:t>费用将做相应调整。</w:t>
      </w:r>
    </w:p>
    <w:p w14:paraId="0DC2388E">
      <w:pPr>
        <w:spacing w:line="60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p>
    <w:p w14:paraId="37E72960">
      <w:pPr>
        <w:spacing w:line="60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p>
    <w:p w14:paraId="7CD56865">
      <w:pPr>
        <w:spacing w:line="60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p>
    <w:p w14:paraId="1426C769">
      <w:pPr>
        <w:pStyle w:val="5"/>
        <w:tabs>
          <w:tab w:val="left" w:pos="3960"/>
        </w:tabs>
        <w:spacing w:line="600" w:lineRule="exact"/>
        <w:ind w:right="-567" w:rightChars="0"/>
        <w:rPr>
          <w:rFonts w:hint="eastAsia" w:eastAsia="仿宋_GB2312"/>
          <w:spacing w:val="-6"/>
          <w:sz w:val="32"/>
          <w:szCs w:val="32"/>
          <w:highlight w:val="none"/>
        </w:rPr>
      </w:pPr>
      <w:r>
        <w:rPr>
          <w:rFonts w:eastAsia="仿宋_GB2312"/>
          <w:spacing w:val="-6"/>
          <w:sz w:val="32"/>
          <w:szCs w:val="32"/>
          <w:highlight w:val="none"/>
        </w:rPr>
        <w:t>广州开发区</w:t>
      </w:r>
      <w:r>
        <w:rPr>
          <w:rFonts w:hint="eastAsia" w:eastAsia="仿宋_GB2312"/>
          <w:spacing w:val="-6"/>
          <w:sz w:val="32"/>
          <w:szCs w:val="32"/>
          <w:highlight w:val="none"/>
        </w:rPr>
        <w:t>规划和自然资源局</w:t>
      </w:r>
      <w:r>
        <w:rPr>
          <w:rFonts w:eastAsia="仿宋_GB2312"/>
          <w:spacing w:val="-6"/>
          <w:sz w:val="32"/>
          <w:szCs w:val="32"/>
          <w:highlight w:val="none"/>
        </w:rPr>
        <w:t xml:space="preserve">  </w:t>
      </w:r>
      <w:r>
        <w:rPr>
          <w:rFonts w:hint="eastAsia" w:eastAsia="仿宋_GB2312"/>
          <w:spacing w:val="-8"/>
          <w:sz w:val="32"/>
          <w:szCs w:val="32"/>
          <w:highlight w:val="none"/>
        </w:rPr>
        <w:t>广州市</w:t>
      </w:r>
      <w:r>
        <w:rPr>
          <w:rFonts w:hint="eastAsia" w:hAnsi="仿宋_GB2312" w:eastAsia="仿宋_GB2312"/>
          <w:spacing w:val="-8"/>
          <w:sz w:val="32"/>
          <w:szCs w:val="32"/>
          <w:highlight w:val="none"/>
        </w:rPr>
        <w:t>规划和自然资源局黄埔区分局</w:t>
      </w:r>
    </w:p>
    <w:p w14:paraId="068207B6">
      <w:pPr>
        <w:spacing w:line="600" w:lineRule="exact"/>
        <w:ind w:right="0"/>
        <w:jc w:val="both"/>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15</w:t>
      </w:r>
      <w:bookmarkStart w:id="0" w:name="_GoBack"/>
      <w:bookmarkEnd w:id="0"/>
      <w:r>
        <w:rPr>
          <w:rFonts w:ascii="Times New Roman" w:hAnsi="Times New Roman" w:eastAsia="仿宋_GB2312" w:cs="Times New Roman"/>
          <w:sz w:val="32"/>
          <w:szCs w:val="32"/>
          <w:highlight w:val="none"/>
        </w:rPr>
        <w:t>日</w:t>
      </w:r>
    </w:p>
    <w:p w14:paraId="111E80EE">
      <w:pPr>
        <w:spacing w:line="240" w:lineRule="auto"/>
        <w:ind w:right="0"/>
        <w:jc w:val="left"/>
        <w:rPr>
          <w:highlight w:val="none"/>
        </w:rPr>
      </w:pPr>
    </w:p>
    <w:sectPr>
      <w:pgSz w:w="11906" w:h="16838"/>
      <w:pgMar w:top="141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44B47"/>
    <w:multiLevelType w:val="singleLevel"/>
    <w:tmpl w:val="A9D44B4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ZjA0MDE0MGFiNDljZTg3OTg2NWM1MDIzM2E2N2QifQ=="/>
  </w:docVars>
  <w:rsids>
    <w:rsidRoot w:val="13903CE9"/>
    <w:rsid w:val="12DC4F20"/>
    <w:rsid w:val="13903CE9"/>
    <w:rsid w:val="17896358"/>
    <w:rsid w:val="186D6705"/>
    <w:rsid w:val="255538E2"/>
    <w:rsid w:val="2A06620C"/>
    <w:rsid w:val="33BD06D7"/>
    <w:rsid w:val="36505D46"/>
    <w:rsid w:val="3657072C"/>
    <w:rsid w:val="543A4312"/>
    <w:rsid w:val="55486E9B"/>
    <w:rsid w:val="5A257972"/>
    <w:rsid w:val="669C5C65"/>
    <w:rsid w:val="68572F07"/>
    <w:rsid w:val="6A056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1244</Words>
  <Characters>1368</Characters>
  <Lines>0</Lines>
  <Paragraphs>0</Paragraphs>
  <TotalTime>210</TotalTime>
  <ScaleCrop>false</ScaleCrop>
  <LinksUpToDate>false</LinksUpToDate>
  <CharactersWithSpaces>1412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2024-05-07T08:38:00Z</dcterms:created>
  <dc:creator>cowboy</dc:creator>
  <cp:lastModifiedBy>Fyan</cp:lastModifiedBy>
  <cp:lastPrinted>2024-09-02T04:33:00Z</cp:lastPrinted>
  <dcterms:modified xsi:type="dcterms:W3CDTF">2024-09-23T03:01:10Z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DF02CCEBDD2B4478A6E468554E247A47_11</vt:lpwstr>
  </property>
</Properties>
</file>