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9FCC3">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14:paraId="70E1FA33">
      <w:pPr>
        <w:adjustRightInd w:val="0"/>
        <w:snapToGrid w:val="0"/>
        <w:jc w:val="center"/>
        <w:rPr>
          <w:rFonts w:hint="default" w:ascii="Times New Roman" w:hAnsi="Times New Roman" w:eastAsia="方正小标宋简体" w:cs="Times New Roman"/>
          <w:color w:val="000000"/>
          <w:sz w:val="44"/>
          <w:szCs w:val="44"/>
        </w:rPr>
      </w:pPr>
    </w:p>
    <w:p w14:paraId="6428E324">
      <w:pPr>
        <w:adjustRightInd w:val="0"/>
        <w:snapToGrid w:val="0"/>
        <w:ind w:firstLine="0" w:firstLineChars="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2024   年度第三十七批次</w:t>
      </w:r>
      <w:r>
        <w:rPr>
          <w:rFonts w:hint="default" w:ascii="Times New Roman" w:hAnsi="Times New Roman" w:eastAsia="方正小标宋简体" w:cs="Times New Roman"/>
          <w:color w:val="000000"/>
          <w:sz w:val="44"/>
          <w:szCs w:val="44"/>
          <w:lang w:val="en-US" w:eastAsia="zh-CN"/>
        </w:rPr>
        <w:t>城镇建设用地</w:t>
      </w:r>
    </w:p>
    <w:p w14:paraId="6AAD21C0">
      <w:pPr>
        <w:adjustRightInd w:val="0"/>
        <w:snapToGrid w:val="0"/>
        <w:ind w:firstLine="0" w:firstLineChars="0"/>
        <w:jc w:val="center"/>
        <w:rPr>
          <w:rFonts w:hint="eastAsia" w:eastAsia="方正小标宋简体"/>
          <w:lang w:eastAsia="zh-CN"/>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r>
        <w:rPr>
          <w:rFonts w:hint="eastAsia" w:ascii="Times New Roman" w:hAnsi="Times New Roman" w:eastAsia="方正小标宋简体" w:cs="Times New Roman"/>
          <w:color w:val="000000"/>
          <w:sz w:val="44"/>
          <w:szCs w:val="44"/>
          <w:lang w:eastAsia="zh-CN"/>
        </w:rPr>
        <w:t>（</w:t>
      </w:r>
      <w:r>
        <w:rPr>
          <w:rFonts w:hint="eastAsia" w:ascii="Times New Roman" w:hAnsi="Times New Roman" w:eastAsia="方正小标宋简体" w:cs="Times New Roman"/>
          <w:color w:val="000000"/>
          <w:sz w:val="44"/>
          <w:szCs w:val="44"/>
          <w:lang w:val="en-US" w:eastAsia="zh-CN"/>
        </w:rPr>
        <w:t>2.4337公顷</w:t>
      </w:r>
      <w:r>
        <w:rPr>
          <w:rFonts w:hint="eastAsia" w:ascii="Times New Roman" w:hAnsi="Times New Roman" w:eastAsia="方正小标宋简体" w:cs="Times New Roman"/>
          <w:color w:val="000000"/>
          <w:sz w:val="44"/>
          <w:szCs w:val="44"/>
          <w:lang w:eastAsia="zh-CN"/>
        </w:rPr>
        <w:t>）</w:t>
      </w:r>
    </w:p>
    <w:p w14:paraId="024A9230">
      <w:pPr>
        <w:spacing w:line="500" w:lineRule="exact"/>
        <w:rPr>
          <w:rFonts w:hint="default" w:ascii="Times New Roman" w:hAnsi="Times New Roman" w:eastAsia="仿宋_GB2312" w:cs="Times New Roman"/>
          <w:sz w:val="32"/>
          <w:szCs w:val="32"/>
        </w:rPr>
      </w:pPr>
    </w:p>
    <w:p w14:paraId="542770CC">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w:t>
      </w:r>
      <w:r>
        <w:rPr>
          <w:rFonts w:hint="eastAsia" w:ascii="Times New Roman" w:hAnsi="Times New Roman" w:eastAsia="仿宋_GB2312" w:cs="Times New Roman"/>
          <w:sz w:val="32"/>
          <w:szCs w:val="32"/>
          <w:lang w:eastAsia="zh-CN"/>
        </w:rPr>
        <w:t>广州市黄埔区人民政府</w:t>
      </w:r>
      <w:r>
        <w:rPr>
          <w:rFonts w:hint="default" w:ascii="Times New Roman" w:hAnsi="Times New Roman" w:eastAsia="仿宋_GB2312" w:cs="Times New Roman"/>
          <w:sz w:val="32"/>
          <w:szCs w:val="32"/>
        </w:rPr>
        <w:t>拟征收</w:t>
      </w:r>
      <w:r>
        <w:rPr>
          <w:rFonts w:hint="eastAsia" w:ascii="Times New Roman" w:hAnsi="Times New Roman" w:eastAsia="仿宋_GB2312" w:cs="Times New Roman"/>
          <w:color w:val="000000"/>
          <w:sz w:val="32"/>
          <w:szCs w:val="32"/>
          <w:lang w:eastAsia="zh-CN" w:bidi="ar"/>
        </w:rPr>
        <w:t>我</w:t>
      </w:r>
      <w:r>
        <w:rPr>
          <w:rFonts w:hint="default" w:ascii="Times New Roman" w:hAnsi="Times New Roman" w:eastAsia="仿宋_GB2312" w:cs="Times New Roman"/>
          <w:color w:val="000000"/>
          <w:sz w:val="32"/>
          <w:szCs w:val="32"/>
          <w:lang w:bidi="ar"/>
        </w:rPr>
        <w:t>区</w:t>
      </w:r>
      <w:r>
        <w:rPr>
          <w:rFonts w:hint="eastAsia" w:ascii="Times New Roman" w:hAnsi="Times New Roman" w:eastAsia="仿宋_GB2312" w:cs="Times New Roman"/>
          <w:sz w:val="32"/>
          <w:szCs w:val="32"/>
          <w:lang w:val="en-US" w:eastAsia="zh-CN"/>
        </w:rPr>
        <w:t>龙湖街何棠下村经济联合社、龙湖街迳下村虎窿经济合作社、迳下村迳下经济合作社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sz w:val="32"/>
          <w:szCs w:val="32"/>
          <w:u w:val="none"/>
        </w:rPr>
        <w:t>2.4337</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default" w:ascii="Times New Roman" w:hAnsi="Times New Roman" w:eastAsia="仿宋_GB2312" w:cs="Times New Roman"/>
          <w:sz w:val="32"/>
          <w:szCs w:val="32"/>
        </w:rPr>
        <w:t>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14:paraId="775D2AF3">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一、征收</w:t>
      </w:r>
      <w:r>
        <w:rPr>
          <w:rFonts w:hint="eastAsia" w:ascii="黑体" w:hAnsi="黑体" w:eastAsia="黑体" w:cs="黑体"/>
          <w:sz w:val="32"/>
          <w:szCs w:val="32"/>
          <w:lang w:eastAsia="zh-CN"/>
        </w:rPr>
        <w:t>范围</w:t>
      </w:r>
    </w:p>
    <w:p w14:paraId="38D06F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lang w:val="en-US" w:eastAsia="zh-CN"/>
        </w:rPr>
        <w:t>征收</w:t>
      </w:r>
      <w:r>
        <w:rPr>
          <w:rFonts w:hint="eastAsia" w:ascii="Times New Roman" w:hAnsi="Times New Roman" w:eastAsia="仿宋_GB2312" w:cs="Times New Roman"/>
          <w:sz w:val="32"/>
          <w:szCs w:val="32"/>
          <w:lang w:val="en-US" w:eastAsia="zh-CN"/>
        </w:rPr>
        <w:t>土地位于</w:t>
      </w:r>
      <w:r>
        <w:rPr>
          <w:rFonts w:hint="eastAsia" w:ascii="Times New Roman" w:hAnsi="Times New Roman" w:eastAsia="仿宋_GB2312" w:cs="Times New Roman"/>
          <w:sz w:val="32"/>
          <w:szCs w:val="32"/>
        </w:rPr>
        <w:t>龙湖街</w:t>
      </w:r>
      <w:r>
        <w:rPr>
          <w:rFonts w:hint="eastAsia" w:ascii="Times New Roman" w:hAnsi="Times New Roman" w:eastAsia="仿宋_GB2312" w:cs="Times New Roman"/>
          <w:sz w:val="32"/>
          <w:szCs w:val="32"/>
          <w:lang w:val="en-US" w:eastAsia="zh-CN"/>
        </w:rPr>
        <w:t>何棠下村经济联合社、龙湖街迳下村虎窿经济合作社、迳下村迳下经济合作社范围内，具体位置详见附图。</w:t>
      </w:r>
    </w:p>
    <w:p w14:paraId="0BB502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实际征收土地范围以最终批准文件为准。</w:t>
      </w:r>
    </w:p>
    <w:p w14:paraId="03194157">
      <w:pPr>
        <w:keepNext w:val="0"/>
        <w:keepLines w:val="0"/>
        <w:pageBreakBefore w:val="0"/>
        <w:widowControl/>
        <w:tabs>
          <w:tab w:val="left" w:pos="2160"/>
          <w:tab w:val="left" w:pos="2340"/>
          <w:tab w:val="left" w:pos="6480"/>
        </w:tabs>
        <w:kinsoku/>
        <w:wordWrap/>
        <w:overflowPunct/>
        <w:topLinePunct w:val="0"/>
        <w:autoSpaceDE/>
        <w:autoSpaceDN/>
        <w:bidi w:val="0"/>
        <w:adjustRightInd/>
        <w:snapToGrid/>
        <w:spacing w:line="579" w:lineRule="exact"/>
        <w:ind w:right="23" w:rightChars="11"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二、征收目的</w:t>
      </w:r>
    </w:p>
    <w:p w14:paraId="0ECB49FB">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根据《中华人民共和国土地管理法》第四十五条的规定，本次征收土地目的为政府组织实施的成片开发建设需要。</w:t>
      </w:r>
    </w:p>
    <w:p w14:paraId="75FEC1E8">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color w:val="auto"/>
          <w:spacing w:val="0"/>
          <w:kern w:val="2"/>
          <w:sz w:val="32"/>
          <w:szCs w:val="32"/>
          <w:lang w:val="en-US" w:eastAsia="zh-CN"/>
        </w:rPr>
      </w:pPr>
      <w:r>
        <w:rPr>
          <w:rFonts w:hint="eastAsia" w:ascii="黑体" w:hAnsi="黑体" w:eastAsia="黑体" w:cs="黑体"/>
          <w:b w:val="0"/>
          <w:bCs w:val="0"/>
          <w:snapToGrid/>
          <w:color w:val="auto"/>
          <w:spacing w:val="0"/>
          <w:kern w:val="2"/>
          <w:sz w:val="32"/>
          <w:szCs w:val="32"/>
          <w:lang w:val="en-US" w:eastAsia="zh-CN"/>
        </w:rPr>
        <w:t>土地现状</w:t>
      </w:r>
    </w:p>
    <w:p w14:paraId="75E39D0C">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p w14:paraId="17C9A684">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tbl>
      <w:tblPr>
        <w:tblStyle w:val="5"/>
        <w:tblW w:w="85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93"/>
        <w:gridCol w:w="1065"/>
        <w:gridCol w:w="1070"/>
        <w:gridCol w:w="940"/>
        <w:gridCol w:w="1211"/>
        <w:gridCol w:w="1144"/>
      </w:tblGrid>
      <w:tr w14:paraId="4B4A22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3093" w:type="dxa"/>
            <w:tcBorders>
              <w:tl2br w:val="nil"/>
              <w:tr2bl w:val="nil"/>
            </w:tcBorders>
            <w:noWrap w:val="0"/>
            <w:vAlign w:val="center"/>
          </w:tcPr>
          <w:p w14:paraId="7540254F">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被征地单位</w:t>
            </w:r>
          </w:p>
        </w:tc>
        <w:tc>
          <w:tcPr>
            <w:tcW w:w="1065" w:type="dxa"/>
            <w:tcBorders>
              <w:tl2br w:val="nil"/>
              <w:tr2bl w:val="nil"/>
            </w:tcBorders>
            <w:noWrap w:val="0"/>
            <w:vAlign w:val="center"/>
          </w:tcPr>
          <w:p w14:paraId="704B2405">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总面积</w:t>
            </w:r>
          </w:p>
        </w:tc>
        <w:tc>
          <w:tcPr>
            <w:tcW w:w="1070" w:type="dxa"/>
            <w:tcBorders>
              <w:tl2br w:val="nil"/>
              <w:tr2bl w:val="nil"/>
            </w:tcBorders>
            <w:noWrap w:val="0"/>
            <w:vAlign w:val="center"/>
          </w:tcPr>
          <w:p w14:paraId="13F3C0BC">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农用地面积</w:t>
            </w:r>
          </w:p>
        </w:tc>
        <w:tc>
          <w:tcPr>
            <w:tcW w:w="940" w:type="dxa"/>
            <w:tcBorders>
              <w:tl2br w:val="nil"/>
              <w:tr2bl w:val="nil"/>
            </w:tcBorders>
            <w:noWrap w:val="0"/>
            <w:vAlign w:val="center"/>
          </w:tcPr>
          <w:p w14:paraId="32D62287">
            <w:pPr>
              <w:widowControl/>
              <w:jc w:val="center"/>
              <w:rPr>
                <w:rFonts w:hint="eastAsia" w:ascii="Times New Roman" w:hAnsi="Times New Roman" w:eastAsia="仿宋_GB2312" w:cs="Times New Roman"/>
                <w:b/>
                <w:bCs/>
                <w:color w:val="000000"/>
                <w:kern w:val="0"/>
                <w:sz w:val="22"/>
                <w:szCs w:val="22"/>
                <w:lang w:val="en-US" w:eastAsia="zh-CN"/>
              </w:rPr>
            </w:pPr>
            <w:r>
              <w:rPr>
                <w:rFonts w:hint="eastAsia" w:ascii="Times New Roman" w:hAnsi="Times New Roman" w:eastAsia="仿宋_GB2312" w:cs="Times New Roman"/>
                <w:b/>
                <w:bCs/>
                <w:color w:val="000000"/>
                <w:kern w:val="0"/>
                <w:sz w:val="22"/>
                <w:szCs w:val="22"/>
                <w:lang w:val="en-US" w:eastAsia="zh-CN"/>
              </w:rPr>
              <w:t>耕地</w:t>
            </w:r>
          </w:p>
          <w:p w14:paraId="3E01643D">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面积</w:t>
            </w:r>
          </w:p>
        </w:tc>
        <w:tc>
          <w:tcPr>
            <w:tcW w:w="1211" w:type="dxa"/>
            <w:tcBorders>
              <w:tl2br w:val="nil"/>
              <w:tr2bl w:val="nil"/>
            </w:tcBorders>
            <w:noWrap w:val="0"/>
            <w:vAlign w:val="center"/>
          </w:tcPr>
          <w:p w14:paraId="5770B677">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建设用地面积</w:t>
            </w:r>
          </w:p>
        </w:tc>
        <w:tc>
          <w:tcPr>
            <w:tcW w:w="1144" w:type="dxa"/>
            <w:tcBorders>
              <w:tl2br w:val="nil"/>
              <w:tr2bl w:val="nil"/>
            </w:tcBorders>
            <w:noWrap w:val="0"/>
            <w:vAlign w:val="center"/>
          </w:tcPr>
          <w:p w14:paraId="6CE265D4">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未利用地面积</w:t>
            </w:r>
          </w:p>
        </w:tc>
      </w:tr>
      <w:tr w14:paraId="200179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3093" w:type="dxa"/>
            <w:tcBorders>
              <w:tl2br w:val="nil"/>
              <w:tr2bl w:val="nil"/>
            </w:tcBorders>
            <w:noWrap w:val="0"/>
            <w:vAlign w:val="center"/>
          </w:tcPr>
          <w:p w14:paraId="7DC6F429">
            <w:pPr>
              <w:keepNext w:val="0"/>
              <w:keepLines w:val="0"/>
              <w:widowControl/>
              <w:suppressLineNumbers w:val="0"/>
              <w:jc w:val="center"/>
              <w:textAlignment w:val="center"/>
              <w:rPr>
                <w:rFonts w:hint="default" w:ascii="仿宋_GB2312" w:hAnsi="仿宋_GB2312" w:eastAsia="仿宋_GB2312" w:cs="仿宋_GB2312"/>
                <w:b w:val="0"/>
                <w:bCs w:val="0"/>
                <w:color w:val="000000"/>
                <w:kern w:val="0"/>
                <w:sz w:val="21"/>
                <w:szCs w:val="21"/>
                <w:u w:val="none"/>
                <w:lang w:val="en-US" w:eastAsia="zh-CN" w:bidi="ar"/>
              </w:rPr>
            </w:pPr>
            <w:bookmarkStart w:id="0" w:name="OLE_LINK2" w:colFirst="0" w:colLast="0"/>
            <w:bookmarkStart w:id="1" w:name="OLE_LINK1"/>
            <w:r>
              <w:rPr>
                <w:rFonts w:hint="default" w:ascii="仿宋_GB2312" w:hAnsi="仿宋_GB2312" w:eastAsia="仿宋_GB2312" w:cs="仿宋_GB2312"/>
                <w:b w:val="0"/>
                <w:bCs w:val="0"/>
                <w:color w:val="000000"/>
                <w:kern w:val="0"/>
                <w:sz w:val="21"/>
                <w:szCs w:val="21"/>
                <w:u w:val="none"/>
                <w:lang w:val="en-US" w:eastAsia="zh-CN" w:bidi="ar"/>
              </w:rPr>
              <w:t>广州市黄埔区龙湖街何棠下村经济联合社</w:t>
            </w:r>
          </w:p>
        </w:tc>
        <w:tc>
          <w:tcPr>
            <w:tcW w:w="1065" w:type="dxa"/>
            <w:tcBorders>
              <w:tl2br w:val="nil"/>
              <w:tr2bl w:val="nil"/>
            </w:tcBorders>
            <w:noWrap w:val="0"/>
            <w:vAlign w:val="center"/>
          </w:tcPr>
          <w:p w14:paraId="0F724D4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0.2877</w:t>
            </w:r>
          </w:p>
        </w:tc>
        <w:tc>
          <w:tcPr>
            <w:tcW w:w="1070" w:type="dxa"/>
            <w:tcBorders>
              <w:tl2br w:val="nil"/>
              <w:tr2bl w:val="nil"/>
            </w:tcBorders>
            <w:noWrap w:val="0"/>
            <w:vAlign w:val="center"/>
          </w:tcPr>
          <w:p w14:paraId="45A0097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0.2877</w:t>
            </w:r>
          </w:p>
        </w:tc>
        <w:tc>
          <w:tcPr>
            <w:tcW w:w="940" w:type="dxa"/>
            <w:tcBorders>
              <w:tl2br w:val="nil"/>
              <w:tr2bl w:val="nil"/>
            </w:tcBorders>
            <w:noWrap w:val="0"/>
            <w:vAlign w:val="center"/>
          </w:tcPr>
          <w:p w14:paraId="71A7120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0.0000</w:t>
            </w:r>
          </w:p>
        </w:tc>
        <w:tc>
          <w:tcPr>
            <w:tcW w:w="1211" w:type="dxa"/>
            <w:tcBorders>
              <w:tl2br w:val="nil"/>
              <w:tr2bl w:val="nil"/>
            </w:tcBorders>
            <w:noWrap w:val="0"/>
            <w:vAlign w:val="center"/>
          </w:tcPr>
          <w:p w14:paraId="23A9F5E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0.0000</w:t>
            </w:r>
          </w:p>
        </w:tc>
        <w:tc>
          <w:tcPr>
            <w:tcW w:w="1144" w:type="dxa"/>
            <w:tcBorders>
              <w:tl2br w:val="nil"/>
              <w:tr2bl w:val="nil"/>
            </w:tcBorders>
            <w:noWrap w:val="0"/>
            <w:vAlign w:val="center"/>
          </w:tcPr>
          <w:p w14:paraId="3873FBA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0.0000</w:t>
            </w:r>
          </w:p>
        </w:tc>
      </w:tr>
      <w:tr w14:paraId="59AA93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8" w:hRule="atLeast"/>
          <w:jc w:val="center"/>
        </w:trPr>
        <w:tc>
          <w:tcPr>
            <w:tcW w:w="3093" w:type="dxa"/>
            <w:tcBorders>
              <w:tl2br w:val="nil"/>
              <w:tr2bl w:val="nil"/>
            </w:tcBorders>
            <w:noWrap w:val="0"/>
            <w:vAlign w:val="center"/>
          </w:tcPr>
          <w:p w14:paraId="62EE5A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广州市黄埔区龙湖街迳下村虎窿经济合作社</w:t>
            </w:r>
          </w:p>
        </w:tc>
        <w:tc>
          <w:tcPr>
            <w:tcW w:w="1065" w:type="dxa"/>
            <w:tcBorders>
              <w:tl2br w:val="nil"/>
              <w:tr2bl w:val="nil"/>
            </w:tcBorders>
            <w:noWrap w:val="0"/>
            <w:vAlign w:val="center"/>
          </w:tcPr>
          <w:p w14:paraId="4396F4B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2.1190</w:t>
            </w:r>
          </w:p>
        </w:tc>
        <w:tc>
          <w:tcPr>
            <w:tcW w:w="1070" w:type="dxa"/>
            <w:tcBorders>
              <w:tl2br w:val="nil"/>
              <w:tr2bl w:val="nil"/>
            </w:tcBorders>
            <w:noWrap w:val="0"/>
            <w:vAlign w:val="center"/>
          </w:tcPr>
          <w:p w14:paraId="44203F5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2.1190</w:t>
            </w:r>
          </w:p>
        </w:tc>
        <w:tc>
          <w:tcPr>
            <w:tcW w:w="940" w:type="dxa"/>
            <w:tcBorders>
              <w:tl2br w:val="nil"/>
              <w:tr2bl w:val="nil"/>
            </w:tcBorders>
            <w:noWrap w:val="0"/>
            <w:vAlign w:val="center"/>
          </w:tcPr>
          <w:p w14:paraId="724D296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eastAsia" w:ascii="Times New Roman" w:hAnsi="Times New Roman" w:eastAsia="仿宋_GB2312" w:cs="Times New Roman"/>
                <w:b w:val="0"/>
                <w:bCs w:val="0"/>
                <w:i w:val="0"/>
                <w:iCs w:val="0"/>
                <w:color w:val="000000"/>
                <w:kern w:val="0"/>
                <w:sz w:val="22"/>
                <w:szCs w:val="22"/>
                <w:u w:val="none"/>
                <w:lang w:val="en-US" w:eastAsia="zh-CN" w:bidi="ar"/>
              </w:rPr>
              <w:t>0.0000</w:t>
            </w:r>
          </w:p>
        </w:tc>
        <w:tc>
          <w:tcPr>
            <w:tcW w:w="1211" w:type="dxa"/>
            <w:tcBorders>
              <w:tl2br w:val="nil"/>
              <w:tr2bl w:val="nil"/>
            </w:tcBorders>
            <w:noWrap w:val="0"/>
            <w:vAlign w:val="center"/>
          </w:tcPr>
          <w:p w14:paraId="39DEFA8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c>
          <w:tcPr>
            <w:tcW w:w="1144" w:type="dxa"/>
            <w:tcBorders>
              <w:tl2br w:val="nil"/>
              <w:tr2bl w:val="nil"/>
            </w:tcBorders>
            <w:noWrap w:val="0"/>
            <w:vAlign w:val="center"/>
          </w:tcPr>
          <w:p w14:paraId="53E64BF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r>
      <w:tr w14:paraId="5FD231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93" w:type="dxa"/>
            <w:tcBorders>
              <w:tl2br w:val="nil"/>
              <w:tr2bl w:val="nil"/>
            </w:tcBorders>
            <w:noWrap w:val="0"/>
            <w:vAlign w:val="center"/>
          </w:tcPr>
          <w:p w14:paraId="1A50CE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广州市黄埔区龙湖街迳下村迳下经济合作社</w:t>
            </w:r>
          </w:p>
        </w:tc>
        <w:tc>
          <w:tcPr>
            <w:tcW w:w="1065" w:type="dxa"/>
            <w:tcBorders>
              <w:tl2br w:val="nil"/>
              <w:tr2bl w:val="nil"/>
            </w:tcBorders>
            <w:noWrap w:val="0"/>
            <w:vAlign w:val="center"/>
          </w:tcPr>
          <w:p w14:paraId="35D5E46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0.027</w:t>
            </w: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070" w:type="dxa"/>
            <w:tcBorders>
              <w:tl2br w:val="nil"/>
              <w:tr2bl w:val="nil"/>
            </w:tcBorders>
            <w:noWrap w:val="0"/>
            <w:vAlign w:val="center"/>
          </w:tcPr>
          <w:p w14:paraId="4402F74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0.027</w:t>
            </w:r>
            <w:r>
              <w:rPr>
                <w:rFonts w:hint="eastAsia" w:ascii="Times New Roman" w:hAnsi="Times New Roman" w:eastAsia="仿宋_GB2312" w:cs="Times New Roman"/>
                <w:i w:val="0"/>
                <w:iCs w:val="0"/>
                <w:color w:val="000000"/>
                <w:kern w:val="0"/>
                <w:sz w:val="22"/>
                <w:szCs w:val="22"/>
                <w:u w:val="none"/>
                <w:lang w:val="en-US" w:eastAsia="zh-CN" w:bidi="ar"/>
              </w:rPr>
              <w:t>0</w:t>
            </w:r>
          </w:p>
        </w:tc>
        <w:tc>
          <w:tcPr>
            <w:tcW w:w="940" w:type="dxa"/>
            <w:tcBorders>
              <w:tl2br w:val="nil"/>
              <w:tr2bl w:val="nil"/>
            </w:tcBorders>
            <w:noWrap w:val="0"/>
            <w:vAlign w:val="center"/>
          </w:tcPr>
          <w:p w14:paraId="4A82840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eastAsia" w:ascii="Times New Roman" w:hAnsi="Times New Roman" w:eastAsia="仿宋_GB2312" w:cs="Times New Roman"/>
                <w:b w:val="0"/>
                <w:bCs w:val="0"/>
                <w:i w:val="0"/>
                <w:iCs w:val="0"/>
                <w:color w:val="000000"/>
                <w:kern w:val="0"/>
                <w:sz w:val="22"/>
                <w:szCs w:val="22"/>
                <w:u w:val="none"/>
                <w:lang w:val="en-US" w:eastAsia="zh-CN" w:bidi="ar"/>
              </w:rPr>
              <w:t>0.0000</w:t>
            </w:r>
          </w:p>
        </w:tc>
        <w:tc>
          <w:tcPr>
            <w:tcW w:w="1211" w:type="dxa"/>
            <w:tcBorders>
              <w:tl2br w:val="nil"/>
              <w:tr2bl w:val="nil"/>
            </w:tcBorders>
            <w:noWrap w:val="0"/>
            <w:vAlign w:val="center"/>
          </w:tcPr>
          <w:p w14:paraId="52B2969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c>
          <w:tcPr>
            <w:tcW w:w="1144" w:type="dxa"/>
            <w:tcBorders>
              <w:tl2br w:val="nil"/>
              <w:tr2bl w:val="nil"/>
            </w:tcBorders>
            <w:noWrap w:val="0"/>
            <w:vAlign w:val="center"/>
          </w:tcPr>
          <w:p w14:paraId="3595B66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r>
      <w:bookmarkEnd w:id="0"/>
      <w:tr w14:paraId="5B5EB7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3093" w:type="dxa"/>
            <w:tcBorders>
              <w:tl2br w:val="nil"/>
              <w:tr2bl w:val="nil"/>
            </w:tcBorders>
            <w:noWrap w:val="0"/>
            <w:vAlign w:val="center"/>
          </w:tcPr>
          <w:p w14:paraId="26B66C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1065" w:type="dxa"/>
            <w:tcBorders>
              <w:tl2br w:val="nil"/>
              <w:tr2bl w:val="nil"/>
            </w:tcBorders>
            <w:noWrap w:val="0"/>
            <w:vAlign w:val="center"/>
          </w:tcPr>
          <w:p w14:paraId="499B3C9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color w:val="000000"/>
                <w:kern w:val="0"/>
                <w:sz w:val="22"/>
                <w:szCs w:val="22"/>
                <w:u w:val="none"/>
                <w:lang w:val="en-US" w:eastAsia="zh-CN" w:bidi="ar"/>
              </w:rPr>
              <w:t>2.4337</w:t>
            </w:r>
            <w:r>
              <w:rPr>
                <w:rFonts w:hint="default" w:ascii="Times New Roman" w:hAnsi="Times New Roman" w:eastAsia="仿宋_GB2312" w:cs="Times New Roman"/>
                <w:color w:val="000000"/>
                <w:kern w:val="0"/>
                <w:sz w:val="22"/>
                <w:szCs w:val="22"/>
                <w:u w:val="none"/>
                <w:lang w:bidi="ar"/>
              </w:rPr>
              <w:t xml:space="preserve"> </w:t>
            </w:r>
          </w:p>
        </w:tc>
        <w:tc>
          <w:tcPr>
            <w:tcW w:w="1070" w:type="dxa"/>
            <w:tcBorders>
              <w:tl2br w:val="nil"/>
              <w:tr2bl w:val="nil"/>
            </w:tcBorders>
            <w:noWrap w:val="0"/>
            <w:vAlign w:val="center"/>
          </w:tcPr>
          <w:p w14:paraId="66386D7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color w:val="000000"/>
                <w:kern w:val="0"/>
                <w:sz w:val="22"/>
                <w:szCs w:val="22"/>
                <w:u w:val="none"/>
                <w:lang w:val="en-US" w:eastAsia="zh-CN" w:bidi="ar"/>
              </w:rPr>
              <w:t>2.4337</w:t>
            </w:r>
          </w:p>
        </w:tc>
        <w:tc>
          <w:tcPr>
            <w:tcW w:w="940" w:type="dxa"/>
            <w:tcBorders>
              <w:tl2br w:val="nil"/>
              <w:tr2bl w:val="nil"/>
            </w:tcBorders>
            <w:noWrap w:val="0"/>
            <w:vAlign w:val="center"/>
          </w:tcPr>
          <w:p w14:paraId="425E180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b w:val="0"/>
                <w:bCs w:val="0"/>
                <w:i w:val="0"/>
                <w:iCs w:val="0"/>
                <w:color w:val="000000"/>
                <w:kern w:val="0"/>
                <w:sz w:val="22"/>
                <w:szCs w:val="22"/>
                <w:u w:val="none"/>
                <w:lang w:val="en-US" w:eastAsia="zh-CN" w:bidi="ar"/>
              </w:rPr>
              <w:t>0.0000</w:t>
            </w:r>
          </w:p>
        </w:tc>
        <w:tc>
          <w:tcPr>
            <w:tcW w:w="1211" w:type="dxa"/>
            <w:tcBorders>
              <w:tl2br w:val="nil"/>
              <w:tr2bl w:val="nil"/>
            </w:tcBorders>
            <w:noWrap w:val="0"/>
            <w:vAlign w:val="center"/>
          </w:tcPr>
          <w:p w14:paraId="1637A0E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b w:val="0"/>
                <w:bCs w:val="0"/>
                <w:i w:val="0"/>
                <w:iCs w:val="0"/>
                <w:color w:val="000000"/>
                <w:kern w:val="0"/>
                <w:sz w:val="22"/>
                <w:szCs w:val="22"/>
                <w:u w:val="none"/>
                <w:lang w:val="en-US" w:eastAsia="zh-CN" w:bidi="ar"/>
              </w:rPr>
              <w:t>0.0000</w:t>
            </w:r>
          </w:p>
        </w:tc>
        <w:tc>
          <w:tcPr>
            <w:tcW w:w="1144" w:type="dxa"/>
            <w:tcBorders>
              <w:tl2br w:val="nil"/>
              <w:tr2bl w:val="nil"/>
            </w:tcBorders>
            <w:noWrap w:val="0"/>
            <w:vAlign w:val="center"/>
          </w:tcPr>
          <w:p w14:paraId="7C20098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r>
      <w:bookmarkEnd w:id="1"/>
    </w:tbl>
    <w:p w14:paraId="1294366E">
      <w:pPr>
        <w:numPr>
          <w:ilvl w:val="-1"/>
          <w:numId w:val="0"/>
        </w:numPr>
        <w:ind w:left="0" w:leftChars="0" w:firstLine="640" w:firstLineChars="200"/>
        <w:rPr>
          <w:rFonts w:hint="eastAsia" w:ascii="黑体" w:hAnsi="黑体" w:eastAsia="黑体" w:cs="黑体"/>
          <w:color w:val="auto"/>
          <w:sz w:val="32"/>
          <w:szCs w:val="32"/>
          <w:lang w:eastAsia="zh-CN"/>
        </w:rPr>
      </w:pPr>
    </w:p>
    <w:p w14:paraId="46E2FB1B">
      <w:pPr>
        <w:numPr>
          <w:ilvl w:val="-1"/>
          <w:numId w:val="0"/>
        </w:numPr>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四、补偿方式和标准</w:t>
      </w:r>
    </w:p>
    <w:p w14:paraId="7E231B12">
      <w:pPr>
        <w:numPr>
          <w:ilvl w:val="-1"/>
          <w:numId w:val="0"/>
        </w:numPr>
        <w:spacing w:line="58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（一）</w:t>
      </w:r>
      <w:r>
        <w:rPr>
          <w:rFonts w:hint="eastAsia" w:ascii="仿宋_GB2312" w:hAnsi="仿宋_GB2312" w:eastAsia="仿宋_GB2312" w:cs="仿宋_GB2312"/>
          <w:color w:val="auto"/>
          <w:sz w:val="32"/>
          <w:szCs w:val="32"/>
          <w:highlight w:val="none"/>
          <w:lang w:val="en-US" w:eastAsia="zh-CN"/>
        </w:rPr>
        <w:t>土地补偿费和安置补助费标准</w:t>
      </w:r>
    </w:p>
    <w:p w14:paraId="17C27330">
      <w:pPr>
        <w:numPr>
          <w:ilvl w:val="-1"/>
          <w:numId w:val="0"/>
        </w:numPr>
        <w:spacing w:line="580" w:lineRule="exact"/>
        <w:ind w:left="0" w:leftChars="0"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根据《广东省自然资源厅关于广州市征收农用地区片综合地价成果的批复》（粤自然资函〔202</w:t>
      </w: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val="en-US" w:eastAsia="zh-CN"/>
        </w:rPr>
        <w:t>103</w:t>
      </w:r>
      <w:r>
        <w:rPr>
          <w:rFonts w:hint="default" w:ascii="Times New Roman" w:hAnsi="Times New Roman" w:eastAsia="仿宋_GB2312" w:cs="Times New Roman"/>
          <w:color w:val="auto"/>
          <w:sz w:val="32"/>
        </w:rPr>
        <w:t>号）的规定</w:t>
      </w:r>
      <w:r>
        <w:rPr>
          <w:rFonts w:ascii="Times New Roman" w:hAnsi="Times New Roman" w:eastAsia="仿宋_GB2312" w:cs="Times New Roman"/>
          <w:color w:val="auto"/>
          <w:sz w:val="32"/>
        </w:rPr>
        <w:t>，土地补偿标准为</w:t>
      </w:r>
      <w:r>
        <w:rPr>
          <w:rFonts w:hint="eastAsia" w:ascii="Times New Roman" w:hAnsi="Times New Roman" w:eastAsia="仿宋_GB2312" w:cs="Times New Roman"/>
          <w:color w:val="auto"/>
          <w:sz w:val="32"/>
          <w:lang w:val="en-US" w:eastAsia="zh-CN"/>
        </w:rPr>
        <w:t>70.2</w:t>
      </w:r>
      <w:r>
        <w:rPr>
          <w:rFonts w:ascii="Times New Roman" w:hAnsi="Times New Roman" w:eastAsia="仿宋_GB2312" w:cs="Times New Roman"/>
          <w:color w:val="auto"/>
          <w:sz w:val="32"/>
        </w:rPr>
        <w:t>万元/公顷，安置补助标准为</w:t>
      </w:r>
      <w:r>
        <w:rPr>
          <w:rFonts w:hint="eastAsia" w:ascii="Times New Roman" w:hAnsi="Times New Roman" w:eastAsia="仿宋_GB2312" w:cs="Times New Roman"/>
          <w:color w:val="auto"/>
          <w:sz w:val="32"/>
          <w:lang w:val="en-US" w:eastAsia="zh-CN"/>
        </w:rPr>
        <w:t>124.8</w:t>
      </w:r>
      <w:r>
        <w:rPr>
          <w:rFonts w:ascii="Times New Roman" w:hAnsi="Times New Roman" w:eastAsia="仿宋_GB2312" w:cs="Times New Roman"/>
          <w:color w:val="auto"/>
          <w:sz w:val="32"/>
        </w:rPr>
        <w:t>万元/公顷</w:t>
      </w:r>
      <w:r>
        <w:rPr>
          <w:rFonts w:hint="default" w:ascii="Times New Roman" w:hAnsi="Times New Roman" w:eastAsia="仿宋_GB2312" w:cs="Times New Roman"/>
          <w:color w:val="auto"/>
          <w:sz w:val="32"/>
        </w:rPr>
        <w:t>。</w:t>
      </w:r>
    </w:p>
    <w:p w14:paraId="47E36566">
      <w:pPr>
        <w:numPr>
          <w:ilvl w:val="0"/>
          <w:numId w:val="2"/>
        </w:numPr>
        <w:spacing w:line="580" w:lineRule="exact"/>
        <w:ind w:left="0" w:leftChars="0" w:firstLine="640" w:firstLineChars="200"/>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农村村民住宅补偿</w:t>
      </w:r>
    </w:p>
    <w:p w14:paraId="1E55ACAE">
      <w:pPr>
        <w:numPr>
          <w:ilvl w:val="-1"/>
          <w:numId w:val="0"/>
        </w:numPr>
        <w:spacing w:line="580" w:lineRule="exact"/>
        <w:ind w:left="0" w:leftChars="0"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i w:val="0"/>
          <w:iCs w:val="0"/>
          <w:caps w:val="0"/>
          <w:color w:val="auto"/>
          <w:spacing w:val="0"/>
          <w:sz w:val="32"/>
          <w:szCs w:val="22"/>
          <w:shd w:val="clear"/>
          <w:lang w:eastAsia="zh-CN"/>
        </w:rPr>
        <w:t>征地范围内的农村村民住宅按黄埔区政府有关规定进行补偿。</w:t>
      </w:r>
    </w:p>
    <w:p w14:paraId="6B527734">
      <w:pPr>
        <w:numPr>
          <w:ilvl w:val="0"/>
          <w:numId w:val="2"/>
        </w:numPr>
        <w:spacing w:line="580" w:lineRule="exact"/>
        <w:ind w:left="0" w:leftChars="0"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青苗及其他地上附着物补偿</w:t>
      </w:r>
    </w:p>
    <w:p w14:paraId="7220D288">
      <w:pPr>
        <w:numPr>
          <w:ilvl w:val="-1"/>
          <w:numId w:val="0"/>
        </w:numPr>
        <w:spacing w:line="580" w:lineRule="exact"/>
        <w:ind w:left="0" w:leftChars="0" w:firstLine="640" w:firstLineChars="200"/>
        <w:rPr>
          <w:rFonts w:hint="eastAsia" w:ascii="Times New Roman" w:hAnsi="Times New Roman" w:eastAsia="仿宋_GB2312" w:cs="Times New Roman"/>
          <w:i w:val="0"/>
          <w:iCs w:val="0"/>
          <w:caps w:val="0"/>
          <w:color w:val="auto"/>
          <w:spacing w:val="0"/>
          <w:sz w:val="32"/>
          <w:szCs w:val="32"/>
          <w:shd w:val="clear"/>
        </w:rPr>
      </w:pPr>
      <w:r>
        <w:rPr>
          <w:rFonts w:hint="eastAsia" w:ascii="Times New Roman" w:hAnsi="Times New Roman" w:eastAsia="仿宋_GB2312" w:cs="Times New Roman"/>
          <w:color w:val="auto"/>
          <w:sz w:val="32"/>
          <w:szCs w:val="32"/>
          <w:lang w:eastAsia="zh-CN"/>
        </w:rPr>
        <w:t>征地范围内的青苗补偿费和附着物补偿费按黄埔区政府有关规定进行补偿。</w:t>
      </w:r>
    </w:p>
    <w:p w14:paraId="2E27D0C7">
      <w:pPr>
        <w:numPr>
          <w:ilvl w:val="-1"/>
          <w:numId w:val="0"/>
        </w:numPr>
        <w:spacing w:line="580" w:lineRule="exact"/>
        <w:ind w:left="0" w:leftChars="0" w:firstLine="640" w:firstLineChars="200"/>
        <w:rPr>
          <w:rFonts w:hint="eastAsia" w:ascii="Times New Roman" w:hAnsi="Times New Roman" w:eastAsia="仿宋_GB2312" w:cs="Times New Roman"/>
          <w:sz w:val="32"/>
          <w:szCs w:val="32"/>
        </w:rPr>
      </w:pPr>
      <w:r>
        <w:rPr>
          <w:rFonts w:hint="eastAsia" w:ascii="黑体" w:hAnsi="黑体" w:eastAsia="黑体" w:cs="黑体"/>
          <w:i w:val="0"/>
          <w:iCs w:val="0"/>
          <w:caps w:val="0"/>
          <w:spacing w:val="0"/>
          <w:sz w:val="32"/>
          <w:szCs w:val="32"/>
          <w:shd w:val="clear"/>
          <w:lang w:eastAsia="zh-CN"/>
        </w:rPr>
        <w:t>五、安置对象</w:t>
      </w:r>
    </w:p>
    <w:p w14:paraId="7B09C6A4">
      <w:pPr>
        <w:numPr>
          <w:ilvl w:val="-1"/>
          <w:numId w:val="0"/>
        </w:numPr>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4AA32D89">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六、安置方式和社会保障</w:t>
      </w:r>
    </w:p>
    <w:p w14:paraId="5EAE2D46">
      <w:pPr>
        <w:pageBreakBefore w:val="0"/>
        <w:numPr>
          <w:ilvl w:val="-1"/>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14:paraId="2128D5AC">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相关规定，按实际征收土地面积的10%安排留用地，迳下村</w:t>
      </w:r>
      <w:r>
        <w:rPr>
          <w:rFonts w:hint="eastAsia" w:ascii="Times New Roman" w:hAnsi="Times New Roman" w:eastAsia="仿宋_GB2312" w:cs="Times New Roman"/>
          <w:sz w:val="32"/>
          <w:szCs w:val="32"/>
          <w:highlight w:val="none"/>
          <w:lang w:val="en-US" w:eastAsia="zh-CN"/>
        </w:rPr>
        <w:t>留用地拟在本批次内一并报批，何棠下村</w:t>
      </w:r>
      <w:r>
        <w:rPr>
          <w:rFonts w:hint="default" w:ascii="Times New Roman" w:hAnsi="Times New Roman" w:eastAsia="仿宋_GB2312" w:cs="Times New Roman"/>
          <w:sz w:val="32"/>
          <w:szCs w:val="32"/>
          <w:highlight w:val="none"/>
          <w:lang w:val="en-US" w:eastAsia="zh-CN"/>
        </w:rPr>
        <w:t>留用地</w:t>
      </w:r>
      <w:r>
        <w:rPr>
          <w:rFonts w:hint="eastAsia" w:ascii="Times New Roman" w:hAnsi="Times New Roman" w:eastAsia="仿宋_GB2312" w:cs="Times New Roman"/>
          <w:sz w:val="32"/>
          <w:szCs w:val="32"/>
          <w:highlight w:val="none"/>
          <w:lang w:val="en-US" w:eastAsia="zh-CN"/>
        </w:rPr>
        <w:t>拟</w:t>
      </w:r>
      <w:r>
        <w:rPr>
          <w:rFonts w:hint="default" w:ascii="Times New Roman" w:hAnsi="Times New Roman"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被征地单位的旧村改造项目中落实</w:t>
      </w:r>
      <w:r>
        <w:rPr>
          <w:rFonts w:hint="default" w:ascii="Times New Roman" w:hAnsi="Times New Roman" w:eastAsia="仿宋_GB2312" w:cs="Times New Roman"/>
          <w:sz w:val="32"/>
          <w:szCs w:val="32"/>
          <w:highlight w:val="none"/>
          <w:lang w:val="en-US" w:eastAsia="zh-CN"/>
        </w:rPr>
        <w:t>。</w:t>
      </w:r>
    </w:p>
    <w:p w14:paraId="317E9ED9">
      <w:pPr>
        <w:spacing w:line="58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bookmarkStart w:id="2" w:name="_GoBack"/>
      <w:bookmarkEnd w:id="2"/>
      <w:r>
        <w:rPr>
          <w:rFonts w:hint="default" w:ascii="Times New Roman" w:hAnsi="Times New Roman" w:eastAsia="仿宋_GB2312" w:cs="Times New Roman"/>
          <w:sz w:val="32"/>
          <w:szCs w:val="32"/>
          <w:highlight w:val="none"/>
          <w:lang w:val="en-US" w:eastAsia="zh-CN"/>
        </w:rPr>
        <w:t>（三）社会保障费用。根据《广东省人民政府办公厅转发省人力资源社会保障厅关于进一步完善我省被征地农民养老保障政策意见的通知》（粤府办〔2021〕22号）规定，核定该项目按2.47万元/亩标准一次性计提被征地农民养老保障资金存入“收缴被征地农民养老保障资金过渡户”，费用合计</w:t>
      </w:r>
      <w:r>
        <w:rPr>
          <w:rFonts w:hint="eastAsia" w:ascii="Times New Roman" w:hAnsi="Times New Roman" w:eastAsia="仿宋_GB2312" w:cs="Times New Roman"/>
          <w:sz w:val="32"/>
          <w:szCs w:val="32"/>
          <w:highlight w:val="none"/>
          <w:lang w:val="en-US" w:eastAsia="zh-CN"/>
        </w:rPr>
        <w:t>82.95</w:t>
      </w:r>
      <w:r>
        <w:rPr>
          <w:rFonts w:hint="default" w:ascii="Times New Roman" w:hAnsi="Times New Roman" w:eastAsia="仿宋_GB2312" w:cs="Times New Roman"/>
          <w:sz w:val="32"/>
          <w:szCs w:val="32"/>
          <w:highlight w:val="none"/>
          <w:lang w:val="en-US" w:eastAsia="zh-CN"/>
        </w:rPr>
        <w:t>万元，专款用于被征地农民缴纳养老保险费用。征地批准文件批复的实际范围有变化的，费用将做相应调整。</w:t>
      </w:r>
    </w:p>
    <w:p w14:paraId="2D38E999">
      <w:pPr>
        <w:spacing w:line="59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p>
    <w:p w14:paraId="2547D106">
      <w:pPr>
        <w:pStyle w:val="7"/>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14:paraId="34DBB5F6">
      <w:pPr>
        <w:spacing w:line="520" w:lineRule="exact"/>
        <w:ind w:right="28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19 </w:t>
      </w:r>
      <w:r>
        <w:rPr>
          <w:rFonts w:ascii="Times New Roman" w:hAnsi="Times New Roman" w:eastAsia="仿宋_GB2312" w:cs="Times New Roman"/>
          <w:sz w:val="32"/>
          <w:szCs w:val="32"/>
        </w:rPr>
        <w:t>日</w:t>
      </w:r>
    </w:p>
    <w:p w14:paraId="61AC1C5A">
      <w:pPr>
        <w:spacing w:line="240" w:lineRule="auto"/>
        <w:ind w:right="0"/>
        <w:jc w:val="left"/>
      </w:pPr>
    </w:p>
    <w:sectPr>
      <w:pgSz w:w="11906" w:h="16838"/>
      <w:pgMar w:top="141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65DADE-D891-4835-A9DF-373D1CAC11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CB41330-B0BA-4BB2-9486-6DB4CE07CE51}"/>
  </w:font>
  <w:font w:name="方正小标宋简体">
    <w:panose1 w:val="03000509000000000000"/>
    <w:charset w:val="86"/>
    <w:family w:val="auto"/>
    <w:pitch w:val="default"/>
    <w:sig w:usb0="00000001" w:usb1="080E0000" w:usb2="00000000" w:usb3="00000000" w:csb0="00040000" w:csb1="00000000"/>
    <w:embedRegular r:id="rId3" w:fontKey="{5B1211D1-C21B-4989-8B27-F3203C36E36F}"/>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44B47"/>
    <w:multiLevelType w:val="singleLevel"/>
    <w:tmpl w:val="A9D44B47"/>
    <w:lvl w:ilvl="0" w:tentative="0">
      <w:start w:val="3"/>
      <w:numFmt w:val="chineseCounting"/>
      <w:suff w:val="nothing"/>
      <w:lvlText w:val="%1、"/>
      <w:lvlJc w:val="left"/>
      <w:rPr>
        <w:rFonts w:hint="eastAsia"/>
      </w:rPr>
    </w:lvl>
  </w:abstractNum>
  <w:abstractNum w:abstractNumId="1">
    <w:nsid w:val="AF249EF7"/>
    <w:multiLevelType w:val="singleLevel"/>
    <w:tmpl w:val="AF249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OTJlM2Q4ZmI4NWZkYWY0YjAwYWY0NjYwYWMzMjYifQ=="/>
  </w:docVars>
  <w:rsids>
    <w:rsidRoot w:val="6F904891"/>
    <w:rsid w:val="007200AE"/>
    <w:rsid w:val="019F6C96"/>
    <w:rsid w:val="02F456F2"/>
    <w:rsid w:val="031278B3"/>
    <w:rsid w:val="03B629A7"/>
    <w:rsid w:val="042E69E2"/>
    <w:rsid w:val="044E0CB1"/>
    <w:rsid w:val="05B42F17"/>
    <w:rsid w:val="0B3568A8"/>
    <w:rsid w:val="0C1360E2"/>
    <w:rsid w:val="0E3052A0"/>
    <w:rsid w:val="0E5E5155"/>
    <w:rsid w:val="0E7601AF"/>
    <w:rsid w:val="0EDE70F7"/>
    <w:rsid w:val="0F3D548B"/>
    <w:rsid w:val="0F900551"/>
    <w:rsid w:val="11500BC3"/>
    <w:rsid w:val="115703A7"/>
    <w:rsid w:val="11C425F1"/>
    <w:rsid w:val="12D22468"/>
    <w:rsid w:val="12E34E3B"/>
    <w:rsid w:val="148C021A"/>
    <w:rsid w:val="15A30A36"/>
    <w:rsid w:val="16404D82"/>
    <w:rsid w:val="165C164B"/>
    <w:rsid w:val="16A53251"/>
    <w:rsid w:val="16CC6A4C"/>
    <w:rsid w:val="16F05D79"/>
    <w:rsid w:val="185C641B"/>
    <w:rsid w:val="1A0F02D5"/>
    <w:rsid w:val="1B1464DA"/>
    <w:rsid w:val="1B767B1A"/>
    <w:rsid w:val="1C8C33FD"/>
    <w:rsid w:val="1CEB14BC"/>
    <w:rsid w:val="1FF54354"/>
    <w:rsid w:val="210C0CE9"/>
    <w:rsid w:val="210F2A80"/>
    <w:rsid w:val="23A44668"/>
    <w:rsid w:val="2591116E"/>
    <w:rsid w:val="277F117F"/>
    <w:rsid w:val="27BD6600"/>
    <w:rsid w:val="27E93CDE"/>
    <w:rsid w:val="28381734"/>
    <w:rsid w:val="288475B8"/>
    <w:rsid w:val="29235B3A"/>
    <w:rsid w:val="29F02501"/>
    <w:rsid w:val="2B2D7CFF"/>
    <w:rsid w:val="2C061D7C"/>
    <w:rsid w:val="2CA1115F"/>
    <w:rsid w:val="2DA36131"/>
    <w:rsid w:val="2E4B4ACE"/>
    <w:rsid w:val="2E8C5F2F"/>
    <w:rsid w:val="2EB23BE8"/>
    <w:rsid w:val="2F0729B2"/>
    <w:rsid w:val="2F666780"/>
    <w:rsid w:val="302C54C8"/>
    <w:rsid w:val="30706207"/>
    <w:rsid w:val="30720DF0"/>
    <w:rsid w:val="31D71FA4"/>
    <w:rsid w:val="31E5408D"/>
    <w:rsid w:val="326C082A"/>
    <w:rsid w:val="33983FF1"/>
    <w:rsid w:val="346C2C64"/>
    <w:rsid w:val="34851F24"/>
    <w:rsid w:val="34A033BC"/>
    <w:rsid w:val="3509652C"/>
    <w:rsid w:val="37DB13B8"/>
    <w:rsid w:val="39147EA7"/>
    <w:rsid w:val="3AD67F17"/>
    <w:rsid w:val="3AF92974"/>
    <w:rsid w:val="3B3E256A"/>
    <w:rsid w:val="3B9129C3"/>
    <w:rsid w:val="3CF62FC0"/>
    <w:rsid w:val="3D4A0317"/>
    <w:rsid w:val="3DAF5796"/>
    <w:rsid w:val="3DCC341E"/>
    <w:rsid w:val="3EB6026E"/>
    <w:rsid w:val="3EC142D3"/>
    <w:rsid w:val="3F6211A5"/>
    <w:rsid w:val="40363F4D"/>
    <w:rsid w:val="404B008C"/>
    <w:rsid w:val="40505715"/>
    <w:rsid w:val="4095303F"/>
    <w:rsid w:val="431E4AB1"/>
    <w:rsid w:val="43CF14AC"/>
    <w:rsid w:val="43DB16C2"/>
    <w:rsid w:val="444339C4"/>
    <w:rsid w:val="44CD0E59"/>
    <w:rsid w:val="455429D5"/>
    <w:rsid w:val="46340F2E"/>
    <w:rsid w:val="46F956A1"/>
    <w:rsid w:val="47B10A89"/>
    <w:rsid w:val="49F96097"/>
    <w:rsid w:val="4AB60164"/>
    <w:rsid w:val="4BD42F98"/>
    <w:rsid w:val="4BFB3F06"/>
    <w:rsid w:val="4C1B48BF"/>
    <w:rsid w:val="4C736C09"/>
    <w:rsid w:val="4CE92F1D"/>
    <w:rsid w:val="4D8B5B2D"/>
    <w:rsid w:val="4FF438CA"/>
    <w:rsid w:val="502256AF"/>
    <w:rsid w:val="504A7CCC"/>
    <w:rsid w:val="51CD1F03"/>
    <w:rsid w:val="520E55E3"/>
    <w:rsid w:val="522D1654"/>
    <w:rsid w:val="55BD78C1"/>
    <w:rsid w:val="565D76C4"/>
    <w:rsid w:val="56A85CDC"/>
    <w:rsid w:val="56E2205A"/>
    <w:rsid w:val="583C4D5A"/>
    <w:rsid w:val="58B036EC"/>
    <w:rsid w:val="59430186"/>
    <w:rsid w:val="5A5001A4"/>
    <w:rsid w:val="5C1E3DED"/>
    <w:rsid w:val="5D2A07BB"/>
    <w:rsid w:val="5FCB627A"/>
    <w:rsid w:val="60863EAF"/>
    <w:rsid w:val="62C66B33"/>
    <w:rsid w:val="63492B18"/>
    <w:rsid w:val="64AC28AC"/>
    <w:rsid w:val="66E0683D"/>
    <w:rsid w:val="67B350A7"/>
    <w:rsid w:val="67BD7FBB"/>
    <w:rsid w:val="67F85E08"/>
    <w:rsid w:val="685C7515"/>
    <w:rsid w:val="68D63CB7"/>
    <w:rsid w:val="6B0A3E88"/>
    <w:rsid w:val="6B2B0BFD"/>
    <w:rsid w:val="6B6A74A5"/>
    <w:rsid w:val="6BC17FE5"/>
    <w:rsid w:val="6C5E66E4"/>
    <w:rsid w:val="6F904891"/>
    <w:rsid w:val="6FFB4442"/>
    <w:rsid w:val="7016507D"/>
    <w:rsid w:val="70436B89"/>
    <w:rsid w:val="70A9092E"/>
    <w:rsid w:val="70BB4C43"/>
    <w:rsid w:val="716452DE"/>
    <w:rsid w:val="71811020"/>
    <w:rsid w:val="72D67EFE"/>
    <w:rsid w:val="74C94DB4"/>
    <w:rsid w:val="76285ED9"/>
    <w:rsid w:val="770A2FF1"/>
    <w:rsid w:val="77E45273"/>
    <w:rsid w:val="7848390C"/>
    <w:rsid w:val="78750924"/>
    <w:rsid w:val="799040F2"/>
    <w:rsid w:val="7BE95D3C"/>
    <w:rsid w:val="7CB71AA7"/>
    <w:rsid w:val="7E096221"/>
    <w:rsid w:val="7EEE7A35"/>
    <w:rsid w:val="7F29799D"/>
    <w:rsid w:val="7F47200F"/>
    <w:rsid w:val="7FA650C8"/>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1295</Words>
  <Characters>1443</Characters>
  <Lines>0</Lines>
  <Paragraphs>0</Paragraphs>
  <TotalTime>0</TotalTime>
  <ScaleCrop>false</ScaleCrop>
  <LinksUpToDate>false</LinksUpToDate>
  <CharactersWithSpaces>1486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∰※ⅲ</cp:lastModifiedBy>
  <cp:lastPrinted>2024-02-02T08:28:00Z</cp:lastPrinted>
  <dcterms:modified xsi:type="dcterms:W3CDTF">2024-10-09T03:02:17Z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5B9232B0420C4099A1D401C4350B46CD</vt:lpwstr>
  </property>
</Properties>
</file>