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宋体"/>
          <w:bCs/>
          <w:color w:val="auto"/>
          <w:kern w:val="2"/>
          <w:sz w:val="44"/>
          <w:szCs w:val="44"/>
          <w:lang w:val="en-US" w:eastAsia="zh-CN"/>
        </w:rPr>
      </w:pPr>
      <w:r>
        <w:rPr>
          <w:rFonts w:hint="eastAsia" w:ascii="方正小标宋简体" w:hAnsi="方正小标宋简体" w:eastAsia="方正小标宋简体" w:cs="方正小标宋简体"/>
          <w:bCs/>
          <w:color w:val="auto"/>
          <w:sz w:val="44"/>
          <w:szCs w:val="44"/>
        </w:rPr>
        <w:t>关</w:t>
      </w:r>
      <w:r>
        <w:rPr>
          <w:rFonts w:hint="eastAsia" w:ascii="方正小标宋简体" w:hAnsi="仿宋" w:eastAsia="方正小标宋简体" w:cs="宋体"/>
          <w:bCs/>
          <w:color w:val="auto"/>
          <w:sz w:val="44"/>
          <w:szCs w:val="44"/>
        </w:rPr>
        <w:t>于</w:t>
      </w:r>
      <w:r>
        <w:rPr>
          <w:rFonts w:hint="eastAsia" w:ascii="方正小标宋简体" w:hAnsi="仿宋" w:eastAsia="方正小标宋简体" w:cs="宋体"/>
          <w:bCs/>
          <w:color w:val="auto"/>
          <w:kern w:val="2"/>
          <w:sz w:val="44"/>
          <w:szCs w:val="44"/>
          <w:lang w:eastAsia="zh-CN"/>
        </w:rPr>
        <w:t>广州市南沙区</w:t>
      </w:r>
      <w:r>
        <w:rPr>
          <w:rFonts w:hint="eastAsia" w:ascii="方正小标宋简体" w:hAnsi="仿宋" w:eastAsia="方正小标宋简体" w:cs="宋体"/>
          <w:bCs/>
          <w:color w:val="auto"/>
          <w:kern w:val="2"/>
          <w:sz w:val="44"/>
          <w:szCs w:val="44"/>
          <w:lang w:val="en-US" w:eastAsia="zh-CN"/>
        </w:rPr>
        <w:t>2024年度第九十六批次</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仿宋" w:eastAsia="方正小标宋简体" w:cs="宋体"/>
          <w:bCs/>
          <w:color w:val="auto"/>
          <w:kern w:val="2"/>
          <w:sz w:val="44"/>
          <w:szCs w:val="44"/>
          <w:lang w:val="en-US" w:eastAsia="zh-CN"/>
        </w:rPr>
        <w:t>城镇建设用地</w:t>
      </w:r>
      <w:r>
        <w:rPr>
          <w:rFonts w:hint="eastAsia" w:ascii="方正小标宋简体" w:hAnsi="仿宋" w:eastAsia="方正小标宋简体" w:cs="宋体"/>
          <w:bCs/>
          <w:color w:val="auto"/>
          <w:sz w:val="44"/>
          <w:szCs w:val="44"/>
        </w:rPr>
        <w:t>项目</w:t>
      </w:r>
      <w:r>
        <w:rPr>
          <w:rFonts w:hint="eastAsia" w:ascii="方正小标宋简体" w:hAnsi="方正小标宋简体" w:eastAsia="方正小标宋简体" w:cs="方正小标宋简体"/>
          <w:bCs/>
          <w:color w:val="auto"/>
          <w:sz w:val="44"/>
          <w:szCs w:val="44"/>
        </w:rPr>
        <w:t>被征地农民</w:t>
      </w:r>
    </w:p>
    <w:p>
      <w:pPr>
        <w:spacing w:line="56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养老保障方案</w:t>
      </w:r>
    </w:p>
    <w:p>
      <w:pPr>
        <w:spacing w:line="560" w:lineRule="exact"/>
        <w:jc w:val="center"/>
        <w:rPr>
          <w:rFonts w:hint="eastAsia" w:ascii="方正小标宋简体" w:hAnsi="仿宋" w:eastAsia="方正小标宋简体" w:cs="宋体"/>
          <w:bCs/>
          <w:color w:val="auto"/>
          <w:sz w:val="44"/>
          <w:szCs w:val="44"/>
          <w:u w:val="none"/>
          <w:lang w:eastAsia="zh-CN"/>
        </w:rPr>
      </w:pPr>
      <w:r>
        <w:rPr>
          <w:rFonts w:hint="eastAsia" w:ascii="方正小标宋简体" w:hAnsi="方正小标宋简体" w:eastAsia="方正小标宋简体" w:cs="方正小标宋简体"/>
          <w:bCs/>
          <w:color w:val="auto"/>
          <w:sz w:val="44"/>
          <w:szCs w:val="44"/>
          <w:lang w:eastAsia="zh-CN"/>
        </w:rPr>
        <w:t>（</w:t>
      </w:r>
      <w:r>
        <w:rPr>
          <w:rFonts w:hint="eastAsia" w:ascii="方正小标宋简体" w:hAnsi="仿宋" w:eastAsia="方正小标宋简体" w:cs="宋体"/>
          <w:bCs/>
          <w:color w:val="auto"/>
          <w:sz w:val="44"/>
          <w:szCs w:val="44"/>
          <w:u w:val="none"/>
          <w:lang w:eastAsia="zh-CN"/>
        </w:rPr>
        <w:t>大塘村、大井村）</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0"/>
          <w:sz w:val="32"/>
          <w:szCs w:val="32"/>
          <w:shd w:val="clear" w:color="auto" w:fill="FFFFFF"/>
          <w:lang w:bidi="ar"/>
        </w:rPr>
        <w:t>根据</w:t>
      </w:r>
      <w:r>
        <w:rPr>
          <w:rFonts w:hint="default" w:ascii="Times New Roman" w:hAnsi="Times New Roman" w:eastAsia="仿宋_GB2312" w:cs="Times New Roman"/>
          <w:color w:val="auto"/>
          <w:sz w:val="32"/>
          <w:szCs w:val="32"/>
        </w:rPr>
        <w:t>《中华人民共和国土地管理法》、</w:t>
      </w:r>
      <w:r>
        <w:rPr>
          <w:rFonts w:hint="default" w:ascii="Times New Roman" w:hAnsi="Times New Roman" w:eastAsia="仿宋_GB2312" w:cs="Times New Roman"/>
          <w:color w:val="auto"/>
          <w:kern w:val="0"/>
          <w:sz w:val="32"/>
          <w:szCs w:val="32"/>
          <w:shd w:val="clear" w:color="auto" w:fill="FFFFFF"/>
          <w:lang w:bidi="ar"/>
        </w:rPr>
        <w:t>《关于切实做好被征地农民社会保障工作有关问题的通知》（劳社部发〔2007〕</w:t>
      </w:r>
      <w:r>
        <w:rPr>
          <w:rFonts w:hint="default" w:ascii="Times New Roman" w:hAnsi="Times New Roman" w:eastAsia="仿宋_GB2312" w:cs="Times New Roman"/>
          <w:color w:val="auto"/>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九十六</w:t>
      </w:r>
      <w:r>
        <w:rPr>
          <w:rFonts w:hint="default" w:ascii="Times New Roman" w:hAnsi="Times New Roman" w:eastAsia="仿宋_GB2312" w:cs="Times New Roman"/>
          <w:color w:val="auto"/>
          <w:kern w:val="2"/>
          <w:sz w:val="32"/>
          <w:szCs w:val="48"/>
          <w:lang w:val="en-US" w:eastAsia="zh-CN" w:bidi="ar-SA"/>
        </w:rPr>
        <w:t>批次城镇建设用地项目被征地农民养老保障方案如下：</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一、对广州市南沙区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九十六</w:t>
      </w:r>
      <w:r>
        <w:rPr>
          <w:rFonts w:hint="default" w:ascii="Times New Roman" w:hAnsi="Times New Roman" w:eastAsia="仿宋_GB2312" w:cs="Times New Roman"/>
          <w:color w:val="auto"/>
          <w:kern w:val="2"/>
          <w:sz w:val="32"/>
          <w:szCs w:val="48"/>
          <w:lang w:val="en-US" w:eastAsia="zh-CN" w:bidi="ar-SA"/>
        </w:rPr>
        <w:t>批次城镇建设用地项目涉及的</w:t>
      </w:r>
      <w:r>
        <w:rPr>
          <w:rFonts w:hint="eastAsia" w:ascii="Times New Roman" w:hAnsi="Times New Roman" w:eastAsia="仿宋_GB2312" w:cs="Times New Roman"/>
          <w:color w:val="auto"/>
          <w:kern w:val="2"/>
          <w:sz w:val="32"/>
          <w:szCs w:val="48"/>
          <w:lang w:val="en-US" w:eastAsia="zh-CN" w:bidi="ar-SA"/>
        </w:rPr>
        <w:t>大塘经济联合社、大井经济联合社</w:t>
      </w:r>
      <w:r>
        <w:rPr>
          <w:rFonts w:hint="default" w:ascii="Times New Roman" w:hAnsi="Times New Roman" w:eastAsia="仿宋_GB2312" w:cs="Times New Roman"/>
          <w:color w:val="auto"/>
          <w:kern w:val="2"/>
          <w:sz w:val="32"/>
          <w:szCs w:val="48"/>
          <w:lang w:val="en-US" w:eastAsia="zh-CN" w:bidi="ar-SA"/>
        </w:rPr>
        <w:t>被征地农民实施社会养老保险。依据</w:t>
      </w:r>
      <w:r>
        <w:rPr>
          <w:rFonts w:hint="eastAsia" w:ascii="Times New Roman" w:hAnsi="Times New Roman" w:eastAsia="仿宋_GB2312" w:cs="Times New Roman"/>
          <w:color w:val="auto"/>
          <w:sz w:val="32"/>
          <w:szCs w:val="32"/>
          <w:lang w:eastAsia="zh-CN"/>
        </w:rPr>
        <w:t>广州市南沙区</w:t>
      </w:r>
      <w:r>
        <w:rPr>
          <w:rFonts w:hint="eastAsia" w:ascii="Times New Roman" w:hAnsi="Times New Roman" w:eastAsia="仿宋_GB2312" w:cs="Times New Roman"/>
          <w:color w:val="auto"/>
          <w:kern w:val="2"/>
          <w:sz w:val="32"/>
          <w:szCs w:val="32"/>
          <w:lang w:eastAsia="zh-CN"/>
        </w:rPr>
        <w:t>黄阁镇城乡建设办公室</w:t>
      </w:r>
      <w:r>
        <w:rPr>
          <w:rFonts w:hint="default" w:ascii="Times New Roman" w:hAnsi="Times New Roman" w:eastAsia="仿宋_GB2312" w:cs="Times New Roman"/>
          <w:color w:val="auto"/>
          <w:kern w:val="2"/>
          <w:sz w:val="32"/>
          <w:szCs w:val="48"/>
          <w:lang w:val="en-US" w:eastAsia="zh-CN" w:bidi="ar-SA"/>
        </w:rPr>
        <w:t>提供情况，该项目征地双方于20</w:t>
      </w:r>
      <w:r>
        <w:rPr>
          <w:rFonts w:hint="eastAsia" w:ascii="Times New Roman" w:hAnsi="Times New Roman" w:eastAsia="仿宋_GB2312" w:cs="Times New Roman"/>
          <w:color w:val="auto"/>
          <w:kern w:val="2"/>
          <w:sz w:val="32"/>
          <w:szCs w:val="48"/>
          <w:lang w:val="en-US" w:eastAsia="zh-CN" w:bidi="ar-SA"/>
        </w:rPr>
        <w:t>08</w:t>
      </w:r>
      <w:r>
        <w:rPr>
          <w:rFonts w:hint="default" w:ascii="Times New Roman" w:hAnsi="Times New Roman" w:eastAsia="仿宋_GB2312" w:cs="Times New Roman"/>
          <w:color w:val="auto"/>
          <w:kern w:val="2"/>
          <w:sz w:val="32"/>
          <w:szCs w:val="48"/>
          <w:lang w:val="en-US" w:eastAsia="zh-CN" w:bidi="ar-SA"/>
        </w:rPr>
        <w:t>年</w:t>
      </w:r>
      <w:r>
        <w:rPr>
          <w:rFonts w:hint="eastAsia" w:ascii="Times New Roman" w:hAnsi="Times New Roman" w:eastAsia="仿宋_GB2312" w:cs="Times New Roman"/>
          <w:color w:val="auto"/>
          <w:kern w:val="2"/>
          <w:sz w:val="32"/>
          <w:szCs w:val="48"/>
          <w:lang w:val="en-US" w:eastAsia="zh-CN" w:bidi="ar-SA"/>
        </w:rPr>
        <w:t>4</w:t>
      </w:r>
      <w:r>
        <w:rPr>
          <w:rFonts w:hint="default" w:ascii="Times New Roman" w:hAnsi="Times New Roman" w:eastAsia="仿宋_GB2312" w:cs="Times New Roman"/>
          <w:color w:val="auto"/>
          <w:kern w:val="2"/>
          <w:sz w:val="32"/>
          <w:szCs w:val="48"/>
          <w:lang w:val="en-US" w:eastAsia="zh-CN" w:bidi="ar-SA"/>
        </w:rPr>
        <w:t>月全部完成征地补偿安置协议签订，按粤府办〔2021〕22号文第八点规定执行原征地社保政策。</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2"/>
          <w:sz w:val="32"/>
          <w:szCs w:val="48"/>
          <w:lang w:val="en-US" w:eastAsia="zh-CN" w:bidi="ar-SA"/>
        </w:rPr>
      </w:pPr>
      <w:r>
        <w:rPr>
          <w:rFonts w:hint="default" w:ascii="Times New Roman" w:hAnsi="Times New Roman" w:eastAsia="仿宋_GB2312" w:cs="Times New Roman"/>
          <w:color w:val="auto"/>
          <w:kern w:val="2"/>
          <w:sz w:val="32"/>
          <w:szCs w:val="48"/>
          <w:lang w:val="en-US" w:eastAsia="zh-CN" w:bidi="ar-SA"/>
        </w:rPr>
        <w:t>二、纳入本次被征地农民养老保障的对象。广州市南沙区</w:t>
      </w:r>
      <w:r>
        <w:rPr>
          <w:rFonts w:hint="default" w:ascii="Times New Roman" w:hAnsi="Times New Roman" w:eastAsia="仿宋_GB2312" w:cs="Times New Roman"/>
          <w:bCs/>
          <w:color w:val="auto"/>
          <w:kern w:val="0"/>
          <w:sz w:val="32"/>
          <w:szCs w:val="32"/>
          <w:shd w:val="clear" w:color="auto" w:fill="FFFFFF"/>
          <w:lang w:val="en-US" w:eastAsia="zh-CN" w:bidi="ar"/>
        </w:rPr>
        <w:t>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九十六</w:t>
      </w:r>
      <w:r>
        <w:rPr>
          <w:rFonts w:hint="default" w:ascii="Times New Roman" w:hAnsi="Times New Roman" w:eastAsia="仿宋_GB2312" w:cs="Times New Roman"/>
          <w:color w:val="auto"/>
          <w:kern w:val="2"/>
          <w:sz w:val="32"/>
          <w:szCs w:val="48"/>
          <w:lang w:val="en-US" w:eastAsia="zh-CN" w:bidi="ar-SA"/>
        </w:rPr>
        <w:t>批次城镇建设用地项目征用我区黄阁镇</w:t>
      </w:r>
      <w:r>
        <w:rPr>
          <w:rFonts w:hint="eastAsia" w:ascii="Times New Roman" w:hAnsi="Times New Roman" w:eastAsia="仿宋_GB2312" w:cs="Times New Roman"/>
          <w:color w:val="auto"/>
          <w:kern w:val="2"/>
          <w:sz w:val="32"/>
          <w:szCs w:val="48"/>
          <w:lang w:val="en-US" w:eastAsia="zh-CN" w:bidi="ar-SA"/>
        </w:rPr>
        <w:t>大塘</w:t>
      </w:r>
      <w:r>
        <w:rPr>
          <w:rFonts w:hint="default" w:ascii="Times New Roman" w:hAnsi="Times New Roman" w:eastAsia="仿宋_GB2312" w:cs="Times New Roman"/>
          <w:color w:val="auto"/>
          <w:kern w:val="2"/>
          <w:sz w:val="32"/>
          <w:szCs w:val="48"/>
          <w:lang w:val="en-US" w:eastAsia="zh-CN" w:bidi="ar-SA"/>
        </w:rPr>
        <w:t>经济联合社集体土地面积2.441亩</w:t>
      </w:r>
      <w:r>
        <w:rPr>
          <w:rFonts w:hint="eastAsia" w:ascii="Times New Roman" w:hAnsi="Times New Roman" w:eastAsia="仿宋_GB2312" w:cs="Times New Roman"/>
          <w:color w:val="auto"/>
          <w:kern w:val="2"/>
          <w:sz w:val="32"/>
          <w:szCs w:val="48"/>
          <w:lang w:val="en-US" w:eastAsia="zh-CN" w:bidi="ar-SA"/>
        </w:rPr>
        <w:t>、</w:t>
      </w:r>
      <w:r>
        <w:rPr>
          <w:rFonts w:hint="default" w:ascii="Times New Roman" w:hAnsi="Times New Roman" w:eastAsia="仿宋_GB2312" w:cs="Times New Roman"/>
          <w:color w:val="auto"/>
          <w:kern w:val="2"/>
          <w:sz w:val="32"/>
          <w:szCs w:val="48"/>
          <w:lang w:val="en-US" w:eastAsia="zh-CN" w:bidi="ar-SA"/>
        </w:rPr>
        <w:t>大井经济联合社集体土地面积</w:t>
      </w:r>
      <w:r>
        <w:rPr>
          <w:rFonts w:hint="eastAsia" w:ascii="Times New Roman" w:hAnsi="Times New Roman" w:eastAsia="仿宋_GB2312" w:cs="Times New Roman"/>
          <w:color w:val="auto"/>
          <w:kern w:val="2"/>
          <w:sz w:val="32"/>
          <w:szCs w:val="48"/>
          <w:lang w:val="en-US" w:eastAsia="zh-CN" w:bidi="ar-SA"/>
        </w:rPr>
        <w:t>25.965亩，共28.406亩</w:t>
      </w:r>
      <w:r>
        <w:rPr>
          <w:rFonts w:hint="default" w:ascii="Times New Roman" w:hAnsi="Times New Roman" w:eastAsia="仿宋_GB2312" w:cs="Times New Roman"/>
          <w:color w:val="auto"/>
          <w:kern w:val="2"/>
          <w:sz w:val="32"/>
          <w:szCs w:val="48"/>
          <w:lang w:val="en-US" w:eastAsia="zh-CN" w:bidi="ar-SA"/>
        </w:rPr>
        <w:t>（其中0亩属于被征地单位留用地）。该项目涉及的被征地单位留用地按规定不计提征地社保费，其余被征土地涉及应纳入养老保障范围的被征地农民共</w:t>
      </w:r>
      <w:r>
        <w:rPr>
          <w:rFonts w:hint="eastAsia" w:ascii="Times New Roman" w:hAnsi="Times New Roman" w:eastAsia="仿宋_GB2312" w:cs="Times New Roman"/>
          <w:color w:val="auto"/>
          <w:kern w:val="2"/>
          <w:sz w:val="32"/>
          <w:szCs w:val="48"/>
          <w:highlight w:val="none"/>
          <w:lang w:val="en-US" w:eastAsia="zh-CN" w:bidi="ar-SA"/>
        </w:rPr>
        <w:t>193</w:t>
      </w:r>
      <w:r>
        <w:rPr>
          <w:rFonts w:hint="default" w:ascii="Times New Roman" w:hAnsi="Times New Roman" w:eastAsia="仿宋_GB2312" w:cs="Times New Roman"/>
          <w:color w:val="auto"/>
          <w:kern w:val="2"/>
          <w:sz w:val="32"/>
          <w:szCs w:val="48"/>
          <w:lang w:val="en-US" w:eastAsia="zh-CN" w:bidi="ar-SA"/>
        </w:rPr>
        <w:t>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2"/>
          <w:sz w:val="32"/>
          <w:szCs w:val="48"/>
          <w:lang w:val="en-US" w:eastAsia="zh-CN" w:bidi="ar-SA"/>
        </w:rPr>
        <w:t>三、征地社保费标准和筹资办法。征地主体（用地单位）按每人16200元的标准和应纳入养老保障范围的被征地农民人数，将所需资金共</w:t>
      </w:r>
      <w:r>
        <w:rPr>
          <w:rFonts w:hint="eastAsia" w:ascii="Times New Roman" w:hAnsi="Times New Roman" w:eastAsia="仿宋_GB2312" w:cs="Times New Roman"/>
          <w:color w:val="auto"/>
          <w:kern w:val="2"/>
          <w:sz w:val="32"/>
          <w:szCs w:val="48"/>
          <w:lang w:val="en-US" w:eastAsia="zh-CN" w:bidi="ar-SA"/>
        </w:rPr>
        <w:t>312.66</w:t>
      </w:r>
      <w:r>
        <w:rPr>
          <w:rFonts w:hint="default" w:ascii="Times New Roman" w:hAnsi="Times New Roman" w:eastAsia="仿宋_GB2312" w:cs="Times New Roman"/>
          <w:color w:val="auto"/>
          <w:kern w:val="2"/>
          <w:sz w:val="32"/>
          <w:szCs w:val="48"/>
          <w:lang w:val="en-US" w:eastAsia="zh-CN" w:bidi="ar-SA"/>
        </w:rPr>
        <w:t>万元一次性预存入南沙区人力资源社会保障部门开设的“收缴被征地农民社会保障资金过渡户”，专款用于支付被征地农民养老保险个人缴费费用，征地社</w:t>
      </w:r>
      <w:r>
        <w:rPr>
          <w:rFonts w:hint="default" w:ascii="Times New Roman" w:hAnsi="Times New Roman" w:eastAsia="仿宋_GB2312" w:cs="Times New Roman"/>
          <w:color w:val="auto"/>
          <w:kern w:val="0"/>
          <w:sz w:val="32"/>
          <w:szCs w:val="32"/>
          <w:shd w:val="clear" w:color="auto" w:fill="FFFFFF"/>
          <w:lang w:bidi="ar"/>
        </w:rPr>
        <w:t>保费单列计提并列入征地成本。</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60" w:lineRule="exact"/>
        <w:ind w:right="21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eastAsia="zh-CN" w:bidi="ar"/>
        </w:rPr>
        <w:t>附件：</w:t>
      </w:r>
      <w:r>
        <w:rPr>
          <w:rFonts w:hint="default" w:ascii="Times New Roman" w:hAnsi="Times New Roman" w:eastAsia="仿宋_GB2312" w:cs="Times New Roman"/>
          <w:color w:val="auto"/>
          <w:sz w:val="32"/>
          <w:szCs w:val="32"/>
        </w:rPr>
        <w:t>征收土地及养老保障情况表</w:t>
      </w:r>
    </w:p>
    <w:p>
      <w:pPr>
        <w:keepNext w:val="0"/>
        <w:keepLines w:val="0"/>
        <w:pageBreakBefore w:val="0"/>
        <w:shd w:val="clear"/>
        <w:kinsoku/>
        <w:wordWrap/>
        <w:overflowPunct/>
        <w:topLinePunct w:val="0"/>
        <w:autoSpaceDE/>
        <w:autoSpaceDN/>
        <w:bidi w:val="0"/>
        <w:adjustRightInd/>
        <w:snapToGrid/>
        <w:spacing w:line="560" w:lineRule="exact"/>
        <w:ind w:right="210" w:firstLine="1600" w:firstLineChars="500"/>
        <w:jc w:val="both"/>
        <w:textAlignment w:val="auto"/>
        <w:rPr>
          <w:rFonts w:hint="default" w:ascii="Times New Roman" w:hAnsi="Times New Roman" w:eastAsia="方正小标宋简体" w:cs="Times New Roman"/>
          <w:color w:val="auto"/>
          <w:sz w:val="32"/>
          <w:szCs w:val="32"/>
        </w:rPr>
      </w:pPr>
    </w:p>
    <w:p>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val="en-US" w:eastAsia="zh-CN" w:bidi="ar"/>
        </w:rPr>
      </w:pPr>
    </w:p>
    <w:p>
      <w:pPr>
        <w:keepNext w:val="0"/>
        <w:keepLines w:val="0"/>
        <w:pageBreakBefore w:val="0"/>
        <w:widowControl/>
        <w:shd w:val="clear" w:color="auto"/>
        <w:kinsoku/>
        <w:wordWrap/>
        <w:overflowPunct/>
        <w:topLinePunct w:val="0"/>
        <w:autoSpaceDE/>
        <w:autoSpaceDN/>
        <w:bidi w:val="0"/>
        <w:adjustRightInd/>
        <w:snapToGrid/>
        <w:spacing w:before="289" w:beforeLines="50" w:line="560" w:lineRule="exact"/>
        <w:jc w:val="left"/>
        <w:textAlignment w:val="auto"/>
        <w:rPr>
          <w:rFonts w:hint="default" w:ascii="Times New Roman" w:hAnsi="Times New Roman" w:eastAsia="仿宋_GB2312" w:cs="Times New Roman"/>
          <w:color w:val="auto"/>
          <w:kern w:val="0"/>
          <w:sz w:val="32"/>
          <w:szCs w:val="32"/>
          <w:highlight w:val="none"/>
          <w:shd w:val="clear" w:color="auto" w:fill="auto"/>
          <w:lang w:bidi="ar"/>
        </w:rPr>
      </w:pP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广州市南沙区黄阁</w:t>
      </w:r>
      <w:r>
        <w:rPr>
          <w:rFonts w:hint="default" w:ascii="Times New Roman" w:hAnsi="Times New Roman" w:eastAsia="仿宋_GB2312" w:cs="Times New Roman"/>
          <w:color w:val="auto"/>
          <w:sz w:val="32"/>
          <w:szCs w:val="32"/>
          <w:highlight w:val="none"/>
          <w:shd w:val="clear" w:color="auto" w:fill="auto"/>
        </w:rPr>
        <w:t>镇人民政府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3814" w:firstLineChars="1192"/>
        <w:jc w:val="left"/>
        <w:textAlignment w:val="auto"/>
        <w:rPr>
          <w:rFonts w:hint="default" w:ascii="Times New Roman" w:hAnsi="Times New Roman" w:eastAsia="仿宋_GB2312" w:cs="Times New Roman"/>
          <w:color w:val="auto"/>
          <w:sz w:val="32"/>
          <w:szCs w:val="32"/>
          <w:highlight w:val="none"/>
          <w:shd w:val="clear" w:color="auto" w:fill="auto"/>
        </w:rPr>
      </w:pPr>
      <w:r>
        <w:rPr>
          <w:rFonts w:hint="default" w:ascii="Times New Roman" w:hAnsi="Times New Roman" w:eastAsia="仿宋_GB2312" w:cs="Times New Roman"/>
          <w:color w:val="auto"/>
          <w:kern w:val="0"/>
          <w:sz w:val="32"/>
          <w:szCs w:val="32"/>
          <w:highlight w:val="none"/>
          <w:shd w:val="clear" w:color="auto" w:fill="auto"/>
          <w:lang w:bidi="ar"/>
        </w:rPr>
        <w:t xml:space="preserve">   </w:t>
      </w:r>
      <w:r>
        <w:rPr>
          <w:rFonts w:hint="default" w:ascii="Times New Roman" w:hAnsi="Times New Roman" w:eastAsia="仿宋_GB2312" w:cs="Times New Roman"/>
          <w:color w:val="auto"/>
          <w:kern w:val="0"/>
          <w:sz w:val="32"/>
          <w:szCs w:val="32"/>
          <w:highlight w:val="none"/>
          <w:shd w:val="clear" w:color="auto" w:fill="auto"/>
          <w:lang w:val="en-US" w:eastAsia="zh-CN" w:bidi="ar"/>
        </w:rPr>
        <w:t xml:space="preserve"> </w:t>
      </w:r>
      <w:r>
        <w:rPr>
          <w:rFonts w:hint="eastAsia" w:ascii="Times New Roman" w:hAnsi="Times New Roman" w:eastAsia="仿宋_GB2312" w:cs="Times New Roman"/>
          <w:color w:val="auto"/>
          <w:kern w:val="0"/>
          <w:sz w:val="32"/>
          <w:szCs w:val="32"/>
          <w:highlight w:val="none"/>
          <w:shd w:val="clear" w:color="auto" w:fill="auto"/>
          <w:lang w:val="en-US" w:eastAsia="zh-CN" w:bidi="ar"/>
        </w:rPr>
        <w:t>2024</w:t>
      </w:r>
      <w:r>
        <w:rPr>
          <w:rFonts w:hint="default" w:ascii="Times New Roman" w:hAnsi="Times New Roman" w:eastAsia="仿宋_GB2312" w:cs="Times New Roman"/>
          <w:color w:val="auto"/>
          <w:kern w:val="0"/>
          <w:sz w:val="32"/>
          <w:szCs w:val="32"/>
          <w:highlight w:val="none"/>
          <w:shd w:val="clear" w:color="auto" w:fill="auto"/>
          <w:lang w:bidi="ar"/>
        </w:rPr>
        <w:t>年</w:t>
      </w:r>
      <w:r>
        <w:rPr>
          <w:rFonts w:hint="eastAsia" w:ascii="Times New Roman" w:hAnsi="Times New Roman" w:eastAsia="仿宋_GB2312" w:cs="Times New Roman"/>
          <w:color w:val="auto"/>
          <w:kern w:val="0"/>
          <w:sz w:val="32"/>
          <w:szCs w:val="32"/>
          <w:highlight w:val="none"/>
          <w:shd w:val="clear" w:color="auto" w:fill="auto"/>
          <w:lang w:val="en-US" w:eastAsia="zh-CN" w:bidi="ar"/>
        </w:rPr>
        <w:t>11</w:t>
      </w:r>
      <w:r>
        <w:rPr>
          <w:rFonts w:hint="default" w:ascii="Times New Roman" w:hAnsi="Times New Roman" w:eastAsia="仿宋_GB2312" w:cs="Times New Roman"/>
          <w:color w:val="auto"/>
          <w:kern w:val="0"/>
          <w:sz w:val="32"/>
          <w:szCs w:val="32"/>
          <w:highlight w:val="none"/>
          <w:shd w:val="clear" w:color="auto" w:fill="auto"/>
          <w:lang w:bidi="ar"/>
        </w:rPr>
        <w:t>月</w:t>
      </w:r>
      <w:r>
        <w:rPr>
          <w:rFonts w:hint="eastAsia" w:ascii="Times New Roman" w:hAnsi="Times New Roman" w:eastAsia="仿宋_GB2312" w:cs="Times New Roman"/>
          <w:color w:val="auto"/>
          <w:kern w:val="0"/>
          <w:sz w:val="32"/>
          <w:szCs w:val="32"/>
          <w:highlight w:val="none"/>
          <w:shd w:val="clear" w:color="auto" w:fill="auto"/>
          <w:lang w:val="en-US" w:eastAsia="zh-CN" w:bidi="ar"/>
        </w:rPr>
        <w:t>1</w:t>
      </w:r>
      <w:r>
        <w:rPr>
          <w:rFonts w:hint="default" w:ascii="Times New Roman" w:hAnsi="Times New Roman" w:eastAsia="仿宋_GB2312" w:cs="Times New Roman"/>
          <w:color w:val="auto"/>
          <w:kern w:val="0"/>
          <w:sz w:val="32"/>
          <w:szCs w:val="32"/>
          <w:highlight w:val="none"/>
          <w:shd w:val="clear" w:color="auto" w:fill="auto"/>
          <w:lang w:bidi="ar"/>
        </w:rPr>
        <w:t>日</w:t>
      </w:r>
    </w:p>
    <w:p>
      <w:pPr>
        <w:pStyle w:val="2"/>
        <w:shd w:val="clear"/>
        <w:ind w:left="0" w:leftChars="0" w:firstLine="0" w:firstLineChars="0"/>
        <w:rPr>
          <w:rFonts w:hint="default" w:ascii="Times New Roman" w:hAnsi="Times New Roman" w:eastAsia="仿宋_GB2312" w:cs="Times New Roman"/>
          <w:color w:val="auto"/>
          <w:sz w:val="32"/>
          <w:szCs w:val="32"/>
          <w:highlight w:val="none"/>
          <w:shd w:val="clear" w:color="auto" w:fill="auto"/>
          <w:lang w:bidi="ar"/>
        </w:rPr>
      </w:pPr>
    </w:p>
    <w:p>
      <w:pPr>
        <w:shd w:val="clear"/>
        <w:rPr>
          <w:rFonts w:hint="default" w:ascii="Times New Roman" w:hAnsi="Times New Roman" w:cs="Times New Roman"/>
          <w:color w:val="auto"/>
        </w:rPr>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p>
    <w:p>
      <w:pPr>
        <w:pStyle w:val="2"/>
        <w:ind w:left="0" w:leftChars="0" w:firstLine="0" w:firstLineChars="0"/>
        <w:rPr>
          <w:rFonts w:hint="default"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eastAsia="zh-CN" w:bidi="ar"/>
        </w:rPr>
        <w:t>附件</w:t>
      </w:r>
    </w:p>
    <w:p>
      <w:pPr>
        <w:spacing w:line="600" w:lineRule="exact"/>
        <w:ind w:right="210"/>
        <w:jc w:val="center"/>
        <w:rPr>
          <w:rFonts w:eastAsia="方正小标宋简体"/>
          <w:color w:val="auto"/>
          <w:sz w:val="44"/>
          <w:szCs w:val="44"/>
        </w:rPr>
      </w:pPr>
    </w:p>
    <w:p>
      <w:pPr>
        <w:spacing w:line="600" w:lineRule="exact"/>
        <w:ind w:right="210"/>
        <w:jc w:val="center"/>
        <w:rPr>
          <w:rFonts w:hint="eastAsia" w:eastAsia="方正小标宋简体"/>
          <w:color w:val="auto"/>
          <w:sz w:val="44"/>
          <w:szCs w:val="44"/>
        </w:rPr>
      </w:pPr>
      <w:r>
        <w:rPr>
          <w:rFonts w:hint="eastAsia" w:eastAsia="方正小标宋简体"/>
          <w:color w:val="auto"/>
          <w:sz w:val="44"/>
          <w:szCs w:val="44"/>
        </w:rPr>
        <w:t>征收土地及养老保障情况表</w:t>
      </w:r>
    </w:p>
    <w:p>
      <w:pPr>
        <w:keepNext w:val="0"/>
        <w:keepLines w:val="0"/>
        <w:pageBreakBefore w:val="0"/>
        <w:kinsoku/>
        <w:wordWrap/>
        <w:overflowPunct/>
        <w:topLinePunct w:val="0"/>
        <w:autoSpaceDE/>
        <w:autoSpaceDN/>
        <w:bidi w:val="0"/>
        <w:adjustRightInd/>
        <w:snapToGrid/>
        <w:spacing w:line="400" w:lineRule="exact"/>
        <w:ind w:right="210"/>
        <w:jc w:val="center"/>
        <w:textAlignment w:val="auto"/>
        <w:rPr>
          <w:rFonts w:hint="eastAsia" w:eastAsia="方正小标宋简体"/>
          <w:color w:val="auto"/>
          <w:sz w:val="44"/>
          <w:szCs w:val="44"/>
        </w:rPr>
      </w:pPr>
    </w:p>
    <w:p>
      <w:pPr>
        <w:keepNext w:val="0"/>
        <w:keepLines w:val="0"/>
        <w:pageBreakBefore w:val="0"/>
        <w:kinsoku/>
        <w:wordWrap/>
        <w:overflowPunct/>
        <w:topLinePunct w:val="0"/>
        <w:autoSpaceDE/>
        <w:autoSpaceDN/>
        <w:bidi w:val="0"/>
        <w:adjustRightInd/>
        <w:snapToGrid/>
        <w:spacing w:line="400" w:lineRule="exact"/>
        <w:ind w:right="77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单位：亩、人、万元</w:t>
      </w:r>
    </w:p>
    <w:tbl>
      <w:tblPr>
        <w:tblStyle w:val="3"/>
        <w:tblpPr w:leftFromText="180" w:rightFromText="180" w:vertAnchor="text" w:horzAnchor="page" w:tblpX="1290" w:tblpY="301"/>
        <w:tblOverlap w:val="never"/>
        <w:tblW w:w="9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0"/>
        <w:gridCol w:w="1455"/>
        <w:gridCol w:w="1089"/>
        <w:gridCol w:w="1089"/>
        <w:gridCol w:w="1089"/>
        <w:gridCol w:w="1092"/>
        <w:gridCol w:w="1086"/>
        <w:gridCol w:w="78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2395" w:type="dxa"/>
            <w:gridSpan w:val="2"/>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被征地单位</w:t>
            </w:r>
          </w:p>
        </w:tc>
        <w:tc>
          <w:tcPr>
            <w:tcW w:w="4359" w:type="dxa"/>
            <w:gridSpan w:val="4"/>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征收土地面积</w:t>
            </w:r>
          </w:p>
        </w:tc>
        <w:tc>
          <w:tcPr>
            <w:tcW w:w="1086"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属于被征地单位留用地面积</w:t>
            </w:r>
          </w:p>
        </w:tc>
        <w:tc>
          <w:tcPr>
            <w:tcW w:w="784"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需保障人数</w:t>
            </w:r>
          </w:p>
        </w:tc>
        <w:tc>
          <w:tcPr>
            <w:tcW w:w="1031" w:type="dxa"/>
            <w:vMerge w:val="restart"/>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4" w:hRule="atLeast"/>
        </w:trPr>
        <w:tc>
          <w:tcPr>
            <w:tcW w:w="2395" w:type="dxa"/>
            <w:gridSpan w:val="2"/>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合计</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农用地</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建设用地</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未利用地</w:t>
            </w:r>
          </w:p>
        </w:tc>
        <w:tc>
          <w:tcPr>
            <w:tcW w:w="1086"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784"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c>
          <w:tcPr>
            <w:tcW w:w="1031" w:type="dxa"/>
            <w:vMerge w:val="continue"/>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eastAsia="zh-CN"/>
              </w:rPr>
            </w:pPr>
            <w:r>
              <w:rPr>
                <w:rFonts w:hint="default" w:ascii="Times New Roman" w:hAnsi="Times New Roman" w:eastAsia="仿宋_GB2312" w:cs="Times New Roman"/>
                <w:color w:val="auto"/>
                <w:kern w:val="0"/>
                <w:sz w:val="28"/>
                <w:szCs w:val="28"/>
                <w:shd w:val="clear"/>
                <w:lang w:eastAsia="zh-CN"/>
              </w:rPr>
              <w:t>黄阁镇</w:t>
            </w:r>
          </w:p>
        </w:tc>
        <w:tc>
          <w:tcPr>
            <w:tcW w:w="14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eastAsia="zh-CN"/>
              </w:rPr>
            </w:pPr>
            <w:r>
              <w:rPr>
                <w:rFonts w:hint="eastAsia" w:ascii="Times New Roman" w:hAnsi="Times New Roman" w:eastAsia="仿宋_GB2312" w:cs="Times New Roman"/>
                <w:color w:val="auto"/>
                <w:kern w:val="0"/>
                <w:sz w:val="28"/>
                <w:szCs w:val="28"/>
                <w:shd w:val="clear"/>
                <w:lang w:eastAsia="zh-CN"/>
              </w:rPr>
              <w:t>大塘经济联合社</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default" w:ascii="Times New Roman" w:hAnsi="Times New Roman" w:eastAsia="仿宋_GB2312" w:cs="Times New Roman"/>
                <w:color w:val="auto"/>
                <w:kern w:val="0"/>
                <w:sz w:val="28"/>
                <w:szCs w:val="28"/>
                <w:shd w:val="clear"/>
                <w:lang w:val="en-US" w:eastAsia="zh-CN" w:bidi="ar-SA"/>
              </w:rPr>
              <w:t>2.441</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rPr>
              <w:t>2.040</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bidi="ar-SA"/>
              </w:rPr>
              <w:t>0</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bidi="ar-SA"/>
              </w:rPr>
              <w:t>0.401</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bidi="ar-SA"/>
              </w:rPr>
              <w:t>8</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bidi="ar-SA"/>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40"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eastAsia="zh-CN"/>
              </w:rPr>
              <w:t>黄阁镇</w:t>
            </w:r>
          </w:p>
        </w:tc>
        <w:tc>
          <w:tcPr>
            <w:tcW w:w="1455"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eastAsia="zh-CN"/>
              </w:rPr>
              <w:t>大井经济联合社</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rPr>
              <w:t>25.965</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25.416</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0.549</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185</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eastAsia"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299.70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395" w:type="dxa"/>
            <w:gridSpan w:val="2"/>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rPr>
            </w:pPr>
            <w:r>
              <w:rPr>
                <w:rFonts w:hint="default" w:ascii="Times New Roman" w:hAnsi="Times New Roman" w:eastAsia="仿宋_GB2312" w:cs="Times New Roman"/>
                <w:color w:val="auto"/>
                <w:kern w:val="0"/>
                <w:sz w:val="28"/>
                <w:szCs w:val="28"/>
                <w:shd w:val="clear"/>
              </w:rPr>
              <w:t>合    计</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default" w:ascii="Times New Roman" w:hAnsi="Times New Roman" w:eastAsia="仿宋_GB2312" w:cs="Times New Roman"/>
                <w:color w:val="auto"/>
                <w:kern w:val="0"/>
                <w:sz w:val="28"/>
                <w:szCs w:val="28"/>
                <w:shd w:val="clear"/>
                <w:lang w:val="en-US" w:eastAsia="zh-CN" w:bidi="ar-SA"/>
              </w:rPr>
              <w:t>28.406</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bidi="ar-SA"/>
              </w:rPr>
              <w:t>27.456</w:t>
            </w:r>
          </w:p>
        </w:tc>
        <w:tc>
          <w:tcPr>
            <w:tcW w:w="1089"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rPr>
              <w:t>0.549</w:t>
            </w:r>
          </w:p>
        </w:tc>
        <w:tc>
          <w:tcPr>
            <w:tcW w:w="1092"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bidi="ar-SA"/>
              </w:rPr>
              <w:t>0.401</w:t>
            </w:r>
          </w:p>
        </w:tc>
        <w:tc>
          <w:tcPr>
            <w:tcW w:w="1086"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bidi="ar-SA"/>
              </w:rPr>
            </w:pPr>
            <w:r>
              <w:rPr>
                <w:rFonts w:hint="eastAsia" w:ascii="Times New Roman" w:hAnsi="Times New Roman" w:eastAsia="仿宋_GB2312" w:cs="Times New Roman"/>
                <w:color w:val="auto"/>
                <w:kern w:val="0"/>
                <w:sz w:val="28"/>
                <w:szCs w:val="28"/>
                <w:shd w:val="clear"/>
                <w:lang w:val="en-US" w:eastAsia="zh-CN" w:bidi="ar-SA"/>
              </w:rPr>
              <w:t>0</w:t>
            </w:r>
          </w:p>
        </w:tc>
        <w:tc>
          <w:tcPr>
            <w:tcW w:w="784"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rPr>
              <w:t>193</w:t>
            </w:r>
          </w:p>
        </w:tc>
        <w:tc>
          <w:tcPr>
            <w:tcW w:w="1031" w:type="dxa"/>
            <w:shd w:val="clear" w:color="auto" w:fill="auto"/>
            <w:noWrap w:val="0"/>
            <w:vAlign w:val="center"/>
          </w:tcPr>
          <w:p>
            <w:pPr>
              <w:keepNext w:val="0"/>
              <w:keepLines w:val="0"/>
              <w:pageBreakBefore w:val="0"/>
              <w:widowControl/>
              <w:shd w:val="clear"/>
              <w:kinsoku/>
              <w:wordWrap/>
              <w:overflowPunct/>
              <w:topLinePunct w:val="0"/>
              <w:autoSpaceDE/>
              <w:autoSpaceDN/>
              <w:bidi w:val="0"/>
              <w:adjustRightInd/>
              <w:snapToGrid/>
              <w:spacing w:line="400" w:lineRule="exact"/>
              <w:ind w:left="-88" w:leftChars="-42" w:right="-34" w:rightChars="-16"/>
              <w:jc w:val="center"/>
              <w:textAlignment w:val="auto"/>
              <w:rPr>
                <w:rFonts w:hint="default" w:ascii="Times New Roman" w:hAnsi="Times New Roman" w:eastAsia="仿宋_GB2312" w:cs="Times New Roman"/>
                <w:color w:val="auto"/>
                <w:kern w:val="0"/>
                <w:sz w:val="28"/>
                <w:szCs w:val="28"/>
                <w:shd w:val="clear"/>
                <w:lang w:val="en-US" w:eastAsia="zh-CN"/>
              </w:rPr>
            </w:pPr>
            <w:r>
              <w:rPr>
                <w:rFonts w:hint="eastAsia" w:ascii="Times New Roman" w:hAnsi="Times New Roman" w:eastAsia="仿宋_GB2312" w:cs="Times New Roman"/>
                <w:color w:val="auto"/>
                <w:kern w:val="0"/>
                <w:sz w:val="28"/>
                <w:szCs w:val="28"/>
                <w:shd w:val="clear"/>
                <w:lang w:val="en-US" w:eastAsia="zh-CN"/>
              </w:rPr>
              <w:t>312.66</w:t>
            </w:r>
          </w:p>
        </w:tc>
      </w:tr>
    </w:tbl>
    <w:p>
      <w:pPr>
        <w:spacing w:line="320" w:lineRule="exact"/>
        <w:ind w:right="21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28"/>
          <w:szCs w:val="28"/>
        </w:rPr>
        <w:t>备注：被征收土地属于被征地单位留用地的，按规定不计提征地社保费。</w:t>
      </w:r>
    </w:p>
    <w:p>
      <w:pPr>
        <w:pStyle w:val="2"/>
        <w:ind w:left="0" w:leftChars="0" w:firstLine="0" w:firstLineChars="0"/>
        <w:rPr>
          <w:rFonts w:hint="default" w:ascii="Times New Roman" w:hAnsi="Times New Roman" w:eastAsia="仿宋_GB2312" w:cs="Times New Roman"/>
          <w:color w:val="auto"/>
          <w:sz w:val="32"/>
          <w:szCs w:val="32"/>
          <w:shd w:val="clear" w:color="auto" w:fill="FFFFFF"/>
          <w:lang w:bidi="ar"/>
        </w:rPr>
      </w:pPr>
    </w:p>
    <w:p>
      <w:pPr>
        <w:shd w:val="clear"/>
        <w:rPr>
          <w:rFonts w:hint="default" w:ascii="Times New Roman" w:hAnsi="Times New Roman" w:cs="Times New Roman"/>
          <w:color w:val="auto"/>
        </w:rPr>
      </w:pP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D0EC7"/>
    <w:rsid w:val="0120006A"/>
    <w:rsid w:val="0957094B"/>
    <w:rsid w:val="126B7053"/>
    <w:rsid w:val="12925B8D"/>
    <w:rsid w:val="175A2F70"/>
    <w:rsid w:val="1E4801ED"/>
    <w:rsid w:val="1F3E320D"/>
    <w:rsid w:val="26261822"/>
    <w:rsid w:val="26E62808"/>
    <w:rsid w:val="290943C7"/>
    <w:rsid w:val="2ACA551A"/>
    <w:rsid w:val="31E267E6"/>
    <w:rsid w:val="33C7174B"/>
    <w:rsid w:val="387E705A"/>
    <w:rsid w:val="3F1F7F62"/>
    <w:rsid w:val="45BF28DF"/>
    <w:rsid w:val="503B267E"/>
    <w:rsid w:val="55877F62"/>
    <w:rsid w:val="56962345"/>
    <w:rsid w:val="584D4A7D"/>
    <w:rsid w:val="594A28A6"/>
    <w:rsid w:val="5EA06708"/>
    <w:rsid w:val="60DD0EC7"/>
    <w:rsid w:val="636010A0"/>
    <w:rsid w:val="66D12E74"/>
    <w:rsid w:val="68644FD2"/>
    <w:rsid w:val="6BE56CEC"/>
    <w:rsid w:val="700C6DFB"/>
    <w:rsid w:val="76F07C34"/>
    <w:rsid w:val="78F6388E"/>
    <w:rsid w:val="795C4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2023-04-12T06:20:00Z</dcterms:created>
  <dc:creator>嘉玲</dc:creator>
  <cp:lastModifiedBy>lgzx</cp:lastModifiedBy>
  <cp:lastPrinted>2023-08-10T08:17:00Z</cp:lastPrinted>
  <dcterms:modified xsi:type="dcterms:W3CDTF">2024-11-01T01:09:32Z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2A5F934D7C1842B38CE9039BC6237F2C</vt:lpwstr>
  </property>
</Properties>
</file>