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5FC" w:rsidRPr="002C25FC" w:rsidRDefault="002C25FC" w:rsidP="002C25FC">
      <w:pPr>
        <w:widowControl/>
        <w:spacing w:before="100" w:beforeAutospacing="1" w:after="100" w:afterAutospacing="1"/>
        <w:jc w:val="right"/>
        <w:outlineLvl w:val="0"/>
        <w:rPr>
          <w:rFonts w:ascii="宋体" w:eastAsia="宋体" w:hAnsi="宋体" w:cs="宋体"/>
          <w:b/>
          <w:bCs/>
          <w:kern w:val="36"/>
          <w:sz w:val="24"/>
          <w:szCs w:val="24"/>
        </w:rPr>
      </w:pPr>
      <w:r w:rsidRPr="002C25FC">
        <w:rPr>
          <w:rFonts w:ascii="宋体" w:eastAsia="宋体" w:hAnsi="宋体" w:cs="宋体"/>
          <w:b/>
          <w:bCs/>
          <w:kern w:val="36"/>
          <w:sz w:val="24"/>
          <w:szCs w:val="24"/>
        </w:rPr>
        <w:t>粤国土资（建）字〔2015〕792号</w:t>
      </w:r>
    </w:p>
    <w:p w:rsidR="002C25FC" w:rsidRPr="002C25FC" w:rsidRDefault="002C25FC" w:rsidP="002C25FC">
      <w:pPr>
        <w:widowControl/>
        <w:spacing w:before="100" w:beforeAutospacing="1" w:after="100" w:afterAutospacing="1"/>
        <w:jc w:val="center"/>
        <w:outlineLvl w:val="0"/>
        <w:rPr>
          <w:rFonts w:ascii="宋体" w:eastAsia="宋体" w:hAnsi="宋体" w:cs="宋体"/>
          <w:b/>
          <w:bCs/>
          <w:kern w:val="36"/>
          <w:sz w:val="48"/>
          <w:szCs w:val="48"/>
        </w:rPr>
      </w:pPr>
      <w:r w:rsidRPr="002C25FC">
        <w:rPr>
          <w:rFonts w:ascii="宋体" w:eastAsia="宋体" w:hAnsi="宋体" w:cs="宋体"/>
          <w:b/>
          <w:bCs/>
          <w:kern w:val="36"/>
          <w:sz w:val="48"/>
          <w:szCs w:val="48"/>
        </w:rPr>
        <w:t>广东省国土资源厅关于广州市白云区2013年度第二十四批次城镇建设用地的批复</w:t>
      </w:r>
    </w:p>
    <w:p w:rsidR="002C25FC" w:rsidRPr="002C25FC" w:rsidRDefault="002C25FC" w:rsidP="002C25FC">
      <w:pPr>
        <w:widowControl/>
        <w:spacing w:before="100" w:beforeAutospacing="1" w:after="100" w:afterAutospacing="1"/>
        <w:jc w:val="left"/>
        <w:rPr>
          <w:rFonts w:ascii="宋体" w:eastAsia="宋体" w:hAnsi="宋体" w:cs="宋体"/>
          <w:kern w:val="0"/>
          <w:sz w:val="24"/>
          <w:szCs w:val="24"/>
        </w:rPr>
      </w:pPr>
      <w:r w:rsidRPr="002C25FC">
        <w:rPr>
          <w:rFonts w:ascii="宋体" w:eastAsia="宋体" w:hAnsi="宋体" w:cs="宋体"/>
          <w:kern w:val="0"/>
          <w:sz w:val="27"/>
          <w:szCs w:val="27"/>
        </w:rPr>
        <w:t>广州市人民政府：</w:t>
      </w:r>
      <w:r w:rsidRPr="002C25FC">
        <w:rPr>
          <w:rFonts w:ascii="宋体" w:eastAsia="宋体" w:hAnsi="宋体" w:cs="宋体"/>
          <w:kern w:val="0"/>
          <w:sz w:val="27"/>
          <w:szCs w:val="27"/>
        </w:rPr>
        <w:br/>
        <w:t xml:space="preserve">　　经你市政府审核同意上报的《广州市国土房管局关于上报广州市白云区2013年度第二十四批次城镇建设用地的请示》（穗国房（用地）字〔2014〕135号）收悉。经省人民政府同意，批复如下：</w:t>
      </w:r>
      <w:r w:rsidRPr="002C25FC">
        <w:rPr>
          <w:rFonts w:ascii="宋体" w:eastAsia="宋体" w:hAnsi="宋体" w:cs="宋体"/>
          <w:kern w:val="0"/>
          <w:sz w:val="27"/>
          <w:szCs w:val="27"/>
        </w:rPr>
        <w:br/>
        <w:t xml:space="preserve">　　一、同意上报的农用地转用方案和征收土地方案。同意你市将白云区江高镇大岭村经济联合社，江高镇大岭村聚龙、东昌、花园、南昌、龙坡、邓社、松原经济合作社属下的集体农用地11.1725公顷（耕地4.9911公顷、园地0.2582公顷、其他农用地5.9232公顷）转为建设用地，同时完善使用上述有关村集体建设用地0.8024公顷，以上合计11.9749公顷集体土地一并办理征收为国有土地手续；并同意你市将上述有关村集体的集体农用地1.755公顷（耕地1.5036公顷、园地0.0053公顷、林地0.1266公顷、其他农用地0.1195公顷）转为建设用地，同时完善使用上述有关村集体建设用地0.0506公顷，以上合计批准建设用地1.8056公顷，不征收，保留集体土地性质；另同意你市将白云区人民政府属下的国有农用地0.3688（全为其他农用地）转为建设用地；上述合计批准建设用地14.1493公顷，经完善相关手续后依照规划安排作为你市白云区城镇建设用地。</w:t>
      </w:r>
      <w:r w:rsidRPr="002C25FC">
        <w:rPr>
          <w:rFonts w:ascii="宋体" w:eastAsia="宋体" w:hAnsi="宋体" w:cs="宋体"/>
          <w:kern w:val="0"/>
          <w:sz w:val="27"/>
          <w:szCs w:val="27"/>
        </w:rPr>
        <w:br/>
        <w:t xml:space="preserve">　　二、该批次用地在土地利用总体规划中均安排为城乡建设用地，供</w:t>
      </w:r>
      <w:r w:rsidRPr="002C25FC">
        <w:rPr>
          <w:rFonts w:ascii="宋体" w:eastAsia="宋体" w:hAnsi="宋体" w:cs="宋体"/>
          <w:kern w:val="0"/>
          <w:sz w:val="27"/>
          <w:szCs w:val="27"/>
        </w:rPr>
        <w:lastRenderedPageBreak/>
        <w:t>地时土地用途应与土地利用总体规划中的规划安排相符；同时，供地方式、供地规模、供地标准等应严格按照国家和省的有关规定执行，切实做到节约集约用地。</w:t>
      </w:r>
      <w:r w:rsidRPr="002C25FC">
        <w:rPr>
          <w:rFonts w:ascii="宋体" w:eastAsia="宋体" w:hAnsi="宋体" w:cs="宋体"/>
          <w:kern w:val="0"/>
          <w:sz w:val="27"/>
          <w:szCs w:val="27"/>
        </w:rPr>
        <w:br/>
        <w:t xml:space="preserve">　　三、同意上报的补充耕地方案。使用已有耕地储备指标（补充耕地项目备案编号：44082320100011、44122620080032）补充耕地，同时请你市人民政府督促白云区人民政府认真履行承诺，切实采取有效措施，确保耕地数量、质量和类别达到占补平衡的要求。</w:t>
      </w:r>
      <w:r w:rsidRPr="002C25FC">
        <w:rPr>
          <w:rFonts w:ascii="宋体" w:eastAsia="宋体" w:hAnsi="宋体" w:cs="宋体"/>
          <w:kern w:val="0"/>
          <w:sz w:val="27"/>
          <w:szCs w:val="27"/>
        </w:rPr>
        <w:br/>
        <w:t xml:space="preserve">　　四、请你市人民政府及时依法组织实施征地，切实保障被征地群众生活出路。市人民政府应依法发布征地公告，限期办理征地补偿登记；市土地行政主管部门应会同有关单位根据批准的征收土地方案拟订具体的征地补偿安置方案并予以公告，并听取群众意见后报同级人民政府批准实施。征地补偿安置不落实的，不得强行使用被征土地。</w:t>
      </w:r>
      <w:r w:rsidRPr="002C25FC">
        <w:rPr>
          <w:rFonts w:ascii="宋体" w:eastAsia="宋体" w:hAnsi="宋体" w:cs="宋体"/>
          <w:kern w:val="0"/>
          <w:sz w:val="27"/>
          <w:szCs w:val="27"/>
        </w:rPr>
        <w:br/>
        <w:t xml:space="preserve">　　五、使用土地涉及有关税费的收缴或调整，请按有关规定办理。</w:t>
      </w:r>
      <w:r w:rsidRPr="002C25FC">
        <w:rPr>
          <w:rFonts w:ascii="宋体" w:eastAsia="宋体" w:hAnsi="宋体" w:cs="宋体"/>
          <w:kern w:val="0"/>
          <w:sz w:val="27"/>
          <w:szCs w:val="27"/>
        </w:rPr>
        <w:br/>
        <w:t xml:space="preserve">　　六、征地批后实施情况连同经批准的征地补偿安置方案和具体项目供地情况须按规定报备。</w:t>
      </w:r>
      <w:r w:rsidRPr="002C25FC">
        <w:rPr>
          <w:rFonts w:ascii="宋体" w:eastAsia="宋体" w:hAnsi="宋体" w:cs="宋体"/>
          <w:kern w:val="0"/>
          <w:sz w:val="27"/>
          <w:szCs w:val="27"/>
        </w:rPr>
        <w:br/>
        <w:t xml:space="preserve">　　</w:t>
      </w:r>
      <w:r w:rsidRPr="002C25FC">
        <w:rPr>
          <w:rFonts w:ascii="宋体" w:eastAsia="宋体" w:hAnsi="宋体" w:cs="宋体"/>
          <w:kern w:val="0"/>
          <w:sz w:val="27"/>
          <w:szCs w:val="27"/>
        </w:rPr>
        <w:br/>
        <w:t xml:space="preserve">　　</w:t>
      </w:r>
      <w:r w:rsidRPr="002C25FC">
        <w:rPr>
          <w:rFonts w:ascii="宋体" w:eastAsia="宋体" w:hAnsi="宋体" w:cs="宋体"/>
          <w:kern w:val="0"/>
          <w:sz w:val="27"/>
          <w:szCs w:val="27"/>
        </w:rPr>
        <w:br/>
        <w:t xml:space="preserve">　　</w:t>
      </w:r>
      <w:r w:rsidRPr="002C25FC">
        <w:rPr>
          <w:rFonts w:ascii="宋体" w:eastAsia="宋体" w:hAnsi="宋体" w:cs="宋体"/>
          <w:kern w:val="0"/>
          <w:sz w:val="27"/>
          <w:szCs w:val="27"/>
        </w:rPr>
        <w:br/>
        <w:t xml:space="preserve">　　 </w:t>
      </w:r>
    </w:p>
    <w:p w:rsidR="002C25FC" w:rsidRPr="002C25FC" w:rsidRDefault="002C25FC" w:rsidP="002C25FC">
      <w:pPr>
        <w:widowControl/>
        <w:spacing w:before="100" w:beforeAutospacing="1" w:after="240"/>
        <w:jc w:val="right"/>
        <w:rPr>
          <w:rFonts w:ascii="宋体" w:eastAsia="宋体" w:hAnsi="宋体" w:cs="宋体"/>
          <w:kern w:val="0"/>
          <w:sz w:val="24"/>
          <w:szCs w:val="24"/>
        </w:rPr>
      </w:pPr>
      <w:r w:rsidRPr="002C25FC">
        <w:rPr>
          <w:rFonts w:ascii="宋体" w:eastAsia="宋体" w:hAnsi="宋体" w:cs="宋体"/>
          <w:kern w:val="0"/>
          <w:sz w:val="27"/>
          <w:szCs w:val="27"/>
        </w:rPr>
        <w:t>广东省国土资源厅</w:t>
      </w:r>
      <w:r w:rsidRPr="002C25FC">
        <w:rPr>
          <w:rFonts w:ascii="宋体" w:eastAsia="宋体" w:hAnsi="宋体" w:cs="宋体"/>
          <w:kern w:val="0"/>
          <w:sz w:val="27"/>
          <w:szCs w:val="27"/>
        </w:rPr>
        <w:br/>
        <w:t>2015年5月22日</w:t>
      </w:r>
    </w:p>
    <w:p w:rsidR="008C6E74" w:rsidRPr="002C25FC" w:rsidRDefault="008C6E74"/>
    <w:sectPr w:rsidR="008C6E74" w:rsidRPr="002C25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E74" w:rsidRDefault="008C6E74" w:rsidP="002C25FC">
      <w:r>
        <w:separator/>
      </w:r>
    </w:p>
  </w:endnote>
  <w:endnote w:type="continuationSeparator" w:id="1">
    <w:p w:rsidR="008C6E74" w:rsidRDefault="008C6E74" w:rsidP="002C25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E74" w:rsidRDefault="008C6E74" w:rsidP="002C25FC">
      <w:r>
        <w:separator/>
      </w:r>
    </w:p>
  </w:footnote>
  <w:footnote w:type="continuationSeparator" w:id="1">
    <w:p w:rsidR="008C6E74" w:rsidRDefault="008C6E74" w:rsidP="002C25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25FC"/>
    <w:rsid w:val="002C25FC"/>
    <w:rsid w:val="008C6E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C25F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25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C25FC"/>
    <w:rPr>
      <w:sz w:val="18"/>
      <w:szCs w:val="18"/>
    </w:rPr>
  </w:style>
  <w:style w:type="paragraph" w:styleId="a4">
    <w:name w:val="footer"/>
    <w:basedOn w:val="a"/>
    <w:link w:val="Char0"/>
    <w:uiPriority w:val="99"/>
    <w:semiHidden/>
    <w:unhideWhenUsed/>
    <w:rsid w:val="002C25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C25FC"/>
    <w:rPr>
      <w:sz w:val="18"/>
      <w:szCs w:val="18"/>
    </w:rPr>
  </w:style>
  <w:style w:type="character" w:customStyle="1" w:styleId="1Char">
    <w:name w:val="标题 1 Char"/>
    <w:basedOn w:val="a0"/>
    <w:link w:val="1"/>
    <w:uiPriority w:val="9"/>
    <w:rsid w:val="002C25FC"/>
    <w:rPr>
      <w:rFonts w:ascii="宋体" w:eastAsia="宋体" w:hAnsi="宋体" w:cs="宋体"/>
      <w:b/>
      <w:bCs/>
      <w:kern w:val="36"/>
      <w:sz w:val="48"/>
      <w:szCs w:val="48"/>
    </w:rPr>
  </w:style>
  <w:style w:type="paragraph" w:styleId="a5">
    <w:name w:val="Normal (Web)"/>
    <w:basedOn w:val="a"/>
    <w:uiPriority w:val="99"/>
    <w:semiHidden/>
    <w:unhideWhenUsed/>
    <w:rsid w:val="002C25F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2434696">
      <w:bodyDiv w:val="1"/>
      <w:marLeft w:val="0"/>
      <w:marRight w:val="0"/>
      <w:marTop w:val="0"/>
      <w:marBottom w:val="0"/>
      <w:divBdr>
        <w:top w:val="none" w:sz="0" w:space="0" w:color="auto"/>
        <w:left w:val="none" w:sz="0" w:space="0" w:color="auto"/>
        <w:bottom w:val="none" w:sz="0" w:space="0" w:color="auto"/>
        <w:right w:val="none" w:sz="0" w:space="0" w:color="auto"/>
      </w:divBdr>
      <w:divsChild>
        <w:div w:id="2014450749">
          <w:marLeft w:val="0"/>
          <w:marRight w:val="0"/>
          <w:marTop w:val="0"/>
          <w:marBottom w:val="0"/>
          <w:divBdr>
            <w:top w:val="none" w:sz="0" w:space="0" w:color="auto"/>
            <w:left w:val="none" w:sz="0" w:space="0" w:color="auto"/>
            <w:bottom w:val="none" w:sz="0" w:space="0" w:color="auto"/>
            <w:right w:val="none" w:sz="0" w:space="0" w:color="auto"/>
          </w:divBdr>
          <w:divsChild>
            <w:div w:id="99299865">
              <w:marLeft w:val="0"/>
              <w:marRight w:val="0"/>
              <w:marTop w:val="0"/>
              <w:marBottom w:val="0"/>
              <w:divBdr>
                <w:top w:val="none" w:sz="0" w:space="0" w:color="auto"/>
                <w:left w:val="none" w:sz="0" w:space="0" w:color="auto"/>
                <w:bottom w:val="none" w:sz="0" w:space="0" w:color="auto"/>
                <w:right w:val="none" w:sz="0" w:space="0" w:color="auto"/>
              </w:divBdr>
              <w:divsChild>
                <w:div w:id="2092654258">
                  <w:marLeft w:val="0"/>
                  <w:marRight w:val="0"/>
                  <w:marTop w:val="0"/>
                  <w:marBottom w:val="0"/>
                  <w:divBdr>
                    <w:top w:val="none" w:sz="0" w:space="0" w:color="auto"/>
                    <w:left w:val="none" w:sz="0" w:space="0" w:color="auto"/>
                    <w:bottom w:val="none" w:sz="0" w:space="0" w:color="auto"/>
                    <w:right w:val="none" w:sz="0" w:space="0" w:color="auto"/>
                  </w:divBdr>
                  <w:divsChild>
                    <w:div w:id="697704797">
                      <w:marLeft w:val="0"/>
                      <w:marRight w:val="0"/>
                      <w:marTop w:val="0"/>
                      <w:marBottom w:val="0"/>
                      <w:divBdr>
                        <w:top w:val="none" w:sz="0" w:space="0" w:color="auto"/>
                        <w:left w:val="none" w:sz="0" w:space="0" w:color="auto"/>
                        <w:bottom w:val="none" w:sz="0" w:space="0" w:color="auto"/>
                        <w:right w:val="none" w:sz="0" w:space="0" w:color="auto"/>
                      </w:divBdr>
                      <w:divsChild>
                        <w:div w:id="172451685">
                          <w:marLeft w:val="0"/>
                          <w:marRight w:val="0"/>
                          <w:marTop w:val="0"/>
                          <w:marBottom w:val="0"/>
                          <w:divBdr>
                            <w:top w:val="none" w:sz="0" w:space="0" w:color="auto"/>
                            <w:left w:val="none" w:sz="0" w:space="0" w:color="auto"/>
                            <w:bottom w:val="none" w:sz="0" w:space="0" w:color="auto"/>
                            <w:right w:val="none" w:sz="0" w:space="0" w:color="auto"/>
                          </w:divBdr>
                          <w:divsChild>
                            <w:div w:id="1976835197">
                              <w:marLeft w:val="0"/>
                              <w:marRight w:val="0"/>
                              <w:marTop w:val="0"/>
                              <w:marBottom w:val="0"/>
                              <w:divBdr>
                                <w:top w:val="none" w:sz="0" w:space="0" w:color="auto"/>
                                <w:left w:val="none" w:sz="0" w:space="0" w:color="auto"/>
                                <w:bottom w:val="none" w:sz="0" w:space="0" w:color="auto"/>
                                <w:right w:val="none" w:sz="0" w:space="0" w:color="auto"/>
                              </w:divBdr>
                            </w:div>
                          </w:divsChild>
                        </w:div>
                        <w:div w:id="587933696">
                          <w:marLeft w:val="0"/>
                          <w:marRight w:val="0"/>
                          <w:marTop w:val="0"/>
                          <w:marBottom w:val="0"/>
                          <w:divBdr>
                            <w:top w:val="none" w:sz="0" w:space="0" w:color="auto"/>
                            <w:left w:val="none" w:sz="0" w:space="0" w:color="auto"/>
                            <w:bottom w:val="none" w:sz="0" w:space="0" w:color="auto"/>
                            <w:right w:val="none" w:sz="0" w:space="0" w:color="auto"/>
                          </w:divBdr>
                        </w:div>
                        <w:div w:id="38379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laho</dc:creator>
  <cp:keywords/>
  <dc:description/>
  <cp:lastModifiedBy>laho</cp:lastModifiedBy>
  <cp:revision>2</cp:revision>
  <dcterms:created xsi:type="dcterms:W3CDTF">2016-11-10T08:19:00Z</dcterms:created>
  <dcterms:modified xsi:type="dcterms:W3CDTF">2016-11-10T08:19:00Z</dcterms:modified>
</cp:coreProperties>
</file>