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eastAsia="仿宋_GB2312"/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r>
        <w:rPr>
          <w:rFonts w:eastAsia="仿宋_GB2312"/>
          <w:sz w:val="32"/>
          <w:szCs w:val="32"/>
        </w:rPr>
        <w:t>九如村经济联合社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9.1395</w:t>
      </w:r>
      <w:r>
        <w:rPr>
          <w:rFonts w:eastAsia="仿宋_GB2312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9.1395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8.5892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其中耕地</w:t>
      </w:r>
      <w:r>
        <w:rPr>
          <w:rFonts w:eastAsia="仿宋_GB2312"/>
          <w:sz w:val="32"/>
          <w:szCs w:val="32"/>
        </w:rPr>
        <w:t>5.4624</w:t>
      </w:r>
      <w:r>
        <w:rPr>
          <w:rFonts w:hAnsi="仿宋_GB2312" w:eastAsia="仿宋_GB2312"/>
          <w:sz w:val="32"/>
          <w:szCs w:val="32"/>
        </w:rPr>
        <w:t>公顷、园地</w:t>
      </w:r>
      <w:r>
        <w:rPr>
          <w:rFonts w:eastAsia="仿宋_GB2312"/>
          <w:sz w:val="32"/>
          <w:szCs w:val="32"/>
        </w:rPr>
        <w:t>2.0562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0.3985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</w:rPr>
        <w:t xml:space="preserve"> </w:t>
      </w:r>
      <w:r>
        <w:rPr>
          <w:rFonts w:eastAsia="仿宋_GB2312"/>
          <w:sz w:val="32"/>
          <w:szCs w:val="32"/>
        </w:rPr>
        <w:t>0.6721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，建设用地</w:t>
      </w:r>
      <w:r>
        <w:rPr>
          <w:rFonts w:eastAsia="仿宋_GB2312"/>
          <w:sz w:val="32"/>
          <w:szCs w:val="32"/>
        </w:rPr>
        <w:t>0.0021</w:t>
      </w:r>
      <w:r>
        <w:rPr>
          <w:rFonts w:hAnsi="仿宋_GB2312" w:eastAsia="仿宋_GB2312"/>
          <w:sz w:val="32"/>
          <w:szCs w:val="32"/>
        </w:rPr>
        <w:t>公顷，未利用土地</w:t>
      </w:r>
      <w:r>
        <w:rPr>
          <w:rFonts w:eastAsia="仿宋_GB2312"/>
          <w:sz w:val="32"/>
          <w:szCs w:val="32"/>
        </w:rPr>
        <w:t>0.5482</w:t>
      </w:r>
      <w:r>
        <w:rPr>
          <w:rFonts w:hAnsi="仿宋_GB2312" w:eastAsia="仿宋_GB2312"/>
          <w:sz w:val="32"/>
          <w:szCs w:val="32"/>
        </w:rPr>
        <w:t>公顷。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3"/>
        <w:gridCol w:w="1090"/>
        <w:gridCol w:w="1237"/>
        <w:gridCol w:w="1139"/>
        <w:gridCol w:w="1235"/>
        <w:gridCol w:w="107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gridSpan w:val="2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耕地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水浇地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5.4624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303.1632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181.8979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485.0611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2.0562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82.0424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58.6017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140.6441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0.3985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66.0000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26.3010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10.9588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37.2598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0.6721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26.8168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19.1549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45.9717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建设用地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0.0021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0.1166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未利用土地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0.5482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27.7500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15.2126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9.1395</w:t>
            </w:r>
          </w:p>
        </w:tc>
        <w:tc>
          <w:tcPr>
            <w:tcW w:w="5941" w:type="dxa"/>
            <w:gridSpan w:val="5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724.2659万元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（二）青苗补偿款25.3973万元和地上附着物补偿费0.0549万元由永宁街九如</w:t>
      </w:r>
      <w:r>
        <w:rPr>
          <w:rFonts w:eastAsia="仿宋_GB2312"/>
          <w:sz w:val="32"/>
          <w:szCs w:val="32"/>
        </w:rPr>
        <w:t>村</w:t>
      </w:r>
      <w:r>
        <w:rPr>
          <w:rFonts w:eastAsia="仿宋_GB2312"/>
          <w:kern w:val="0"/>
          <w:sz w:val="32"/>
          <w:szCs w:val="32"/>
        </w:rPr>
        <w:t>经济联合社转付土地承包者和地上附着物产权人。青苗和地上附着物暂按此补偿，待日后清算确认后如不足的，将补足差额部分。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切实解决被征地农民的生产生活出路，在保证货币安置落实的同时，该征收集体土地将按穗府办〔2012〕7号文件的规定，按实际征地面积的10%比例(即0.9139公顷) 在</w:t>
      </w:r>
      <w:r>
        <w:rPr>
          <w:rFonts w:hAnsi="仿宋_GB2312" w:eastAsia="仿宋_GB2312"/>
          <w:sz w:val="32"/>
          <w:szCs w:val="32"/>
        </w:rPr>
        <w:t>本批次城镇建设用地涉及</w:t>
      </w:r>
      <w:r>
        <w:rPr>
          <w:rFonts w:eastAsia="仿宋_GB2312"/>
          <w:sz w:val="32"/>
          <w:szCs w:val="32"/>
        </w:rPr>
        <w:t>永宁街</w:t>
      </w:r>
      <w:r>
        <w:rPr>
          <w:rFonts w:hAnsi="仿宋_GB2312" w:eastAsia="仿宋_GB2312"/>
          <w:sz w:val="32"/>
          <w:szCs w:val="32"/>
          <w:shd w:val="clear" w:color="auto" w:fill="FFFFFF"/>
        </w:rPr>
        <w:t>塔岗</w:t>
      </w:r>
      <w:r>
        <w:rPr>
          <w:rFonts w:eastAsia="仿宋_GB2312"/>
          <w:sz w:val="32"/>
          <w:szCs w:val="32"/>
        </w:rPr>
        <w:t>村、公安村土地面积共1.3123公顷）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8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1906" w:h="16838"/>
      <w:pgMar w:top="1304" w:right="175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