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为实施增城区石滩镇建设规划，完善城市功能，改善城市环境，促进经济、文化发展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沙头村经济联合社、北二、西中、六姚、上东、红星、北东、中心、东二、东一、上西、红丰、中丰、新丰、向阳、永丰、农丰、朝阳经济合作社共有的集体土地共5.2759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征收集体土地总面积5.2759公顷，征收集体土地的地类为农用地5.2759公顷（园地0.0550公顷，其他农用地〈不含养殖水面〉5.2209公顷）。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3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992"/>
        <w:gridCol w:w="1134"/>
        <w:gridCol w:w="1276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1.8673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1.3338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其他农用地〈不含养殖水面〉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5.2209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177.2496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126.6068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303.8564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5.2759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307.0575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237.4155万元，由沙头村经济联合社、北二、西中、六姚、上东、红星、北东、中心、东二、东一、上西、红丰、中丰、新丰、向阳、永丰、农丰、朝阳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〔2018〕17号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文件的规定，</w:t>
      </w:r>
      <w:r>
        <w:rPr>
          <w:rFonts w:hint="eastAsia" w:ascii="仿宋_GB2312" w:eastAsia="仿宋_GB2312"/>
          <w:sz w:val="32"/>
        </w:rPr>
        <w:t>按实际征地面积的10%比例核计出的留用地替代以折算货币方式进行补偿，补偿标准为589.5万元/公顷,补偿总额为311.0202万元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                             2018年11月2日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2019-11-29T08:12:37Z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