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spacing w:line="560" w:lineRule="exact"/>
        <w:ind w:firstLine="0" w:firstLineChars="0"/>
        <w:jc w:val="center"/>
        <w:rPr>
          <w:rFonts w:hint="eastAsia" w:ascii="方正小标宋简体" w:hAnsi="方正小标宋简体" w:eastAsia="方正小标宋简体" w:cs="方正小标宋简体"/>
          <w:sz w:val="44"/>
          <w:szCs w:val="44"/>
        </w:rPr>
      </w:pPr>
    </w:p>
    <w:p>
      <w:pPr>
        <w:snapToGrid/>
        <w:spacing w:line="560" w:lineRule="exact"/>
        <w:ind w:firstLine="0" w:firstLineChars="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rPr>
        <w:t>《</w:t>
      </w:r>
      <w:r>
        <w:rPr>
          <w:rFonts w:hint="eastAsia" w:ascii="方正小标宋简体" w:hAnsi="方正小标宋简体" w:eastAsia="方正小标宋简体" w:cs="方正小标宋简体"/>
          <w:sz w:val="44"/>
          <w:szCs w:val="44"/>
          <w:lang w:val="en-US" w:eastAsia="zh-CN"/>
        </w:rPr>
        <w:t>关于土地出让金违约金计收问题的</w:t>
      </w:r>
    </w:p>
    <w:p>
      <w:pPr>
        <w:snapToGrid/>
        <w:spacing w:line="560" w:lineRule="exact"/>
        <w:ind w:firstLine="0" w:firstLineChars="0"/>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若干意见</w:t>
      </w:r>
      <w:r>
        <w:rPr>
          <w:rFonts w:hint="eastAsia" w:ascii="方正小标宋简体" w:hAnsi="方正小标宋简体" w:eastAsia="方正小标宋简体" w:cs="方正小标宋简体"/>
          <w:sz w:val="44"/>
          <w:szCs w:val="44"/>
        </w:rPr>
        <w:t>》</w:t>
      </w:r>
      <w:r>
        <w:rPr>
          <w:rFonts w:hint="eastAsia" w:ascii="方正小标宋简体" w:hAnsi="方正小标宋简体" w:eastAsia="方正小标宋简体" w:cs="方正小标宋简体"/>
          <w:sz w:val="44"/>
          <w:szCs w:val="44"/>
          <w:lang w:val="en-US" w:eastAsia="zh-CN"/>
        </w:rPr>
        <w:t>的</w:t>
      </w:r>
      <w:r>
        <w:rPr>
          <w:rFonts w:hint="eastAsia" w:ascii="方正小标宋简体" w:hAnsi="方正小标宋简体" w:eastAsia="方正小标宋简体" w:cs="方正小标宋简体"/>
          <w:sz w:val="44"/>
          <w:szCs w:val="44"/>
          <w:lang w:eastAsia="zh-CN"/>
        </w:rPr>
        <w:t>修订</w:t>
      </w:r>
      <w:r>
        <w:rPr>
          <w:rFonts w:hint="eastAsia" w:ascii="方正小标宋简体" w:hAnsi="方正小标宋简体" w:eastAsia="方正小标宋简体" w:cs="方正小标宋简体"/>
          <w:sz w:val="44"/>
          <w:szCs w:val="44"/>
        </w:rPr>
        <w:t>说明</w:t>
      </w:r>
    </w:p>
    <w:p>
      <w:pPr>
        <w:spacing w:line="560" w:lineRule="exact"/>
        <w:ind w:firstLine="640" w:firstLineChars="200"/>
        <w:rPr>
          <w:rFonts w:hint="eastAsia" w:ascii="仿宋_GB2312" w:eastAsia="仿宋_GB2312"/>
          <w:sz w:val="32"/>
          <w:szCs w:val="32"/>
        </w:rPr>
      </w:pPr>
    </w:p>
    <w:p>
      <w:pPr>
        <w:spacing w:line="560" w:lineRule="exact"/>
        <w:ind w:firstLine="640" w:firstLineChars="200"/>
        <w:rPr>
          <w:rFonts w:ascii="仿宋_GB2312" w:hAnsi="宋体" w:eastAsia="仿宋_GB2312"/>
          <w:sz w:val="32"/>
          <w:szCs w:val="32"/>
        </w:rPr>
      </w:pPr>
      <w:r>
        <w:rPr>
          <w:rFonts w:hint="eastAsia" w:ascii="仿宋_GB2312"/>
          <w:sz w:val="32"/>
          <w:szCs w:val="32"/>
          <w:lang w:eastAsia="zh-CN"/>
        </w:rPr>
        <w:t>为强化土地出让收支监督管理，严格土地出让金违约金计收管理工作</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仿宋_GB2312" w:eastAsia="仿宋_GB2312"/>
          <w:sz w:val="32"/>
          <w:szCs w:val="32"/>
          <w:lang w:eastAsia="zh-CN"/>
        </w:rPr>
        <w:t>我</w:t>
      </w:r>
      <w:r>
        <w:rPr>
          <w:rFonts w:hint="eastAsia" w:ascii="仿宋_GB2312" w:hAnsi="宋体" w:eastAsia="仿宋_GB2312"/>
          <w:sz w:val="32"/>
          <w:szCs w:val="32"/>
        </w:rPr>
        <w:t>局对</w:t>
      </w:r>
      <w:r>
        <w:rPr>
          <w:rFonts w:hint="eastAsia" w:ascii="仿宋_GB2312" w:hAnsi="仿宋_GB2312" w:eastAsia="仿宋_GB2312" w:cs="仿宋_GB2312"/>
          <w:sz w:val="32"/>
          <w:szCs w:val="32"/>
        </w:rPr>
        <w:t>《</w:t>
      </w:r>
      <w:r>
        <w:rPr>
          <w:rFonts w:hint="eastAsia" w:ascii="仿宋_GB2312" w:hAnsi="仿宋_GB2312" w:cs="仿宋_GB2312"/>
          <w:sz w:val="32"/>
          <w:szCs w:val="32"/>
          <w:lang w:eastAsia="zh-CN"/>
        </w:rPr>
        <w:t>关于土地出让金违约金计收问题的若干意见</w:t>
      </w:r>
      <w:r>
        <w:rPr>
          <w:rFonts w:hint="eastAsia" w:ascii="仿宋_GB2312" w:hAnsi="仿宋_GB2312" w:eastAsia="仿宋_GB2312" w:cs="仿宋_GB2312"/>
          <w:sz w:val="32"/>
          <w:szCs w:val="32"/>
        </w:rPr>
        <w:t>》（</w:t>
      </w:r>
      <w:r>
        <w:rPr>
          <w:rFonts w:hint="eastAsia" w:ascii="仿宋_GB2312" w:hAnsi="仿宋_GB2312" w:cs="仿宋_GB2312"/>
          <w:sz w:val="32"/>
          <w:szCs w:val="32"/>
          <w:lang w:eastAsia="zh-CN"/>
        </w:rPr>
        <w:t>穗规划资源规字</w:t>
      </w:r>
      <w:r>
        <w:rPr>
          <w:rFonts w:hint="eastAsia" w:ascii="仿宋_GB2312" w:hAnsi="仿宋_GB2312" w:eastAsia="仿宋_GB2312" w:cs="仿宋_GB2312"/>
          <w:sz w:val="32"/>
          <w:szCs w:val="32"/>
          <w:lang w:eastAsia="zh-CN"/>
        </w:rPr>
        <w:t>〔</w:t>
      </w:r>
      <w:r>
        <w:rPr>
          <w:rFonts w:hint="eastAsia" w:ascii="仿宋_GB2312" w:hAnsi="仿宋_GB2312" w:cs="仿宋_GB2312"/>
          <w:sz w:val="32"/>
          <w:szCs w:val="32"/>
          <w:lang w:val="en-US" w:eastAsia="zh-CN"/>
        </w:rPr>
        <w:t>2020</w:t>
      </w:r>
      <w:r>
        <w:rPr>
          <w:rFonts w:hint="eastAsia" w:ascii="仿宋_GB2312" w:hAnsi="仿宋_GB2312" w:eastAsia="仿宋_GB2312" w:cs="仿宋_GB2312"/>
          <w:sz w:val="32"/>
          <w:szCs w:val="32"/>
          <w:lang w:eastAsia="zh-CN"/>
        </w:rPr>
        <w:t>〕</w:t>
      </w:r>
      <w:r>
        <w:rPr>
          <w:rFonts w:hint="eastAsia" w:ascii="仿宋_GB2312" w:hAnsi="仿宋_GB2312" w:cs="仿宋_GB2312"/>
          <w:sz w:val="32"/>
          <w:szCs w:val="32"/>
          <w:lang w:val="en-US" w:eastAsia="zh-CN"/>
        </w:rPr>
        <w:t>1号</w:t>
      </w:r>
      <w:r>
        <w:rPr>
          <w:rFonts w:hint="eastAsia" w:ascii="仿宋_GB2312" w:hAnsi="仿宋_GB2312" w:eastAsia="仿宋_GB2312" w:cs="仿宋_GB2312"/>
          <w:sz w:val="32"/>
          <w:szCs w:val="32"/>
        </w:rPr>
        <w:t>，以下简称</w:t>
      </w:r>
      <w:r>
        <w:rPr>
          <w:rFonts w:hint="eastAsia" w:ascii="仿宋_GB2312" w:hAnsi="仿宋_GB2312" w:cs="仿宋_GB2312"/>
          <w:sz w:val="32"/>
          <w:szCs w:val="32"/>
          <w:lang w:eastAsia="zh-CN"/>
        </w:rPr>
        <w:t>“原</w:t>
      </w:r>
      <w:r>
        <w:rPr>
          <w:rFonts w:hint="eastAsia" w:ascii="仿宋_GB2312" w:hAnsi="仿宋_GB2312" w:eastAsia="仿宋_GB2312" w:cs="仿宋_GB2312"/>
          <w:sz w:val="32"/>
          <w:szCs w:val="32"/>
          <w:lang w:eastAsia="zh-CN"/>
        </w:rPr>
        <w:t>《</w:t>
      </w:r>
      <w:r>
        <w:rPr>
          <w:rFonts w:hint="eastAsia" w:ascii="仿宋_GB2312" w:hAnsi="仿宋_GB2312" w:cs="仿宋_GB2312"/>
          <w:sz w:val="32"/>
          <w:szCs w:val="32"/>
          <w:lang w:eastAsia="zh-CN"/>
        </w:rPr>
        <w:t>若干意见</w:t>
      </w:r>
      <w:r>
        <w:rPr>
          <w:rFonts w:hint="eastAsia" w:ascii="仿宋_GB2312" w:hAnsi="仿宋_GB2312" w:eastAsia="仿宋_GB2312" w:cs="仿宋_GB2312"/>
          <w:sz w:val="32"/>
          <w:szCs w:val="32"/>
          <w:lang w:eastAsia="zh-CN"/>
        </w:rPr>
        <w:t>》</w:t>
      </w:r>
      <w:r>
        <w:rPr>
          <w:rFonts w:hint="eastAsia" w:ascii="仿宋_GB2312" w:hAnsi="仿宋_GB2312" w:cs="仿宋_GB2312"/>
          <w:sz w:val="32"/>
          <w:szCs w:val="32"/>
          <w:lang w:eastAsia="zh-CN"/>
        </w:rPr>
        <w:t>”</w:t>
      </w:r>
      <w:r>
        <w:rPr>
          <w:rFonts w:hint="eastAsia" w:ascii="仿宋_GB2312" w:hAnsi="仿宋_GB2312" w:eastAsia="仿宋_GB2312" w:cs="仿宋_GB2312"/>
          <w:sz w:val="32"/>
          <w:szCs w:val="32"/>
        </w:rPr>
        <w:t>）</w:t>
      </w:r>
      <w:r>
        <w:rPr>
          <w:rFonts w:hint="eastAsia" w:ascii="仿宋_GB2312" w:hAnsi="宋体" w:eastAsia="仿宋_GB2312"/>
          <w:sz w:val="32"/>
          <w:szCs w:val="32"/>
        </w:rPr>
        <w:t>进行了修订。现将修订情况说明如下：</w:t>
      </w:r>
    </w:p>
    <w:p>
      <w:pPr>
        <w:spacing w:line="560" w:lineRule="exact"/>
        <w:ind w:firstLine="640" w:firstLineChars="200"/>
        <w:rPr>
          <w:rFonts w:hint="eastAsia" w:ascii="黑体" w:hAnsi="宋体" w:eastAsia="黑体"/>
          <w:sz w:val="32"/>
          <w:szCs w:val="32"/>
          <w:lang w:eastAsia="zh-CN"/>
        </w:rPr>
      </w:pPr>
      <w:r>
        <w:rPr>
          <w:rFonts w:hint="eastAsia" w:ascii="黑体" w:hAnsi="宋体" w:eastAsia="黑体"/>
          <w:sz w:val="32"/>
          <w:szCs w:val="32"/>
        </w:rPr>
        <w:t>一、</w:t>
      </w:r>
      <w:r>
        <w:rPr>
          <w:rFonts w:hint="eastAsia" w:ascii="黑体" w:hAnsi="宋体" w:eastAsia="黑体"/>
          <w:sz w:val="32"/>
          <w:szCs w:val="32"/>
          <w:lang w:val="en-US" w:eastAsia="zh-CN"/>
        </w:rPr>
        <w:t>修订</w:t>
      </w:r>
      <w:r>
        <w:rPr>
          <w:rFonts w:hint="eastAsia" w:ascii="黑体" w:hAnsi="宋体" w:eastAsia="黑体"/>
          <w:sz w:val="32"/>
          <w:szCs w:val="32"/>
        </w:rPr>
        <w:t>文件的</w:t>
      </w:r>
      <w:r>
        <w:rPr>
          <w:rFonts w:hint="eastAsia" w:ascii="黑体" w:hAnsi="宋体" w:eastAsia="黑体"/>
          <w:sz w:val="32"/>
          <w:szCs w:val="32"/>
          <w:lang w:eastAsia="zh-CN"/>
        </w:rPr>
        <w:t>目的和必要性</w:t>
      </w:r>
    </w:p>
    <w:p>
      <w:pPr>
        <w:tabs>
          <w:tab w:val="left" w:pos="0"/>
        </w:tabs>
        <w:spacing w:line="560" w:lineRule="exact"/>
        <w:ind w:left="0" w:leftChars="0" w:firstLine="640" w:firstLineChars="200"/>
        <w:jc w:val="left"/>
        <w:rPr>
          <w:rFonts w:hint="eastAsia" w:ascii="仿宋_GB2312" w:hAnsi="仿宋_GB2312" w:cs="仿宋_GB2312"/>
          <w:kern w:val="0"/>
        </w:rPr>
      </w:pPr>
      <w:r>
        <w:rPr>
          <w:rFonts w:hint="eastAsia" w:ascii="仿宋_GB2312" w:hAnsi="仿宋_GB2312" w:eastAsia="仿宋_GB2312" w:cs="仿宋_GB2312"/>
          <w:sz w:val="32"/>
          <w:szCs w:val="32"/>
          <w:lang w:eastAsia="zh-CN"/>
        </w:rPr>
        <w:t>原《</w:t>
      </w:r>
      <w:r>
        <w:rPr>
          <w:rFonts w:hint="eastAsia" w:ascii="仿宋_GB2312" w:hAnsi="仿宋_GB2312" w:cs="仿宋_GB2312"/>
          <w:sz w:val="32"/>
          <w:szCs w:val="32"/>
          <w:lang w:eastAsia="zh-CN"/>
        </w:rPr>
        <w:t>若干意见</w:t>
      </w:r>
      <w:r>
        <w:rPr>
          <w:rFonts w:hint="eastAsia" w:ascii="仿宋_GB2312" w:hAnsi="仿宋_GB2312" w:eastAsia="仿宋_GB2312" w:cs="仿宋_GB2312"/>
          <w:sz w:val="32"/>
          <w:szCs w:val="32"/>
          <w:lang w:eastAsia="zh-CN"/>
        </w:rPr>
        <w:t>》</w:t>
      </w:r>
      <w:r>
        <w:rPr>
          <w:rFonts w:hint="eastAsia" w:ascii="仿宋_GB2312" w:hAnsi="仿宋_GB2312" w:cs="仿宋_GB2312"/>
          <w:sz w:val="32"/>
          <w:szCs w:val="32"/>
          <w:lang w:eastAsia="zh-CN"/>
        </w:rPr>
        <w:t>明确规定了违约金的计算标准并设定了上限，为指导和规范土地出让金的计收工作提供了重要指引，实施以来取得了用地单位和社会的广泛认同。原《若干意见》将于</w:t>
      </w:r>
      <w:r>
        <w:rPr>
          <w:rFonts w:hint="eastAsia" w:ascii="仿宋_GB2312" w:hAnsi="仿宋_GB2312" w:cs="仿宋_GB2312"/>
          <w:sz w:val="32"/>
          <w:szCs w:val="32"/>
          <w:lang w:val="en-US" w:eastAsia="zh-CN"/>
        </w:rPr>
        <w:t>2025年2月有效期届满，为持续规范土地出让收支管理，确保土地出让收入及时足额上缴国库，继续促进我市社会和经济发展，</w:t>
      </w:r>
      <w:r>
        <w:rPr>
          <w:rFonts w:hint="eastAsia" w:ascii="仿宋_GB2312" w:hAnsi="仿宋_GB2312" w:cs="仿宋_GB2312"/>
          <w:kern w:val="0"/>
        </w:rPr>
        <w:t>根据我市实际，我</w:t>
      </w:r>
      <w:r>
        <w:rPr>
          <w:rFonts w:hint="eastAsia" w:ascii="仿宋_GB2312" w:hAnsi="仿宋_GB2312" w:cs="仿宋_GB2312"/>
          <w:kern w:val="0"/>
          <w:lang w:eastAsia="zh-CN"/>
        </w:rPr>
        <w:t>局</w:t>
      </w:r>
      <w:r>
        <w:rPr>
          <w:rFonts w:hint="eastAsia" w:ascii="仿宋_GB2312" w:hAnsi="仿宋_GB2312" w:cs="仿宋_GB2312"/>
          <w:kern w:val="0"/>
        </w:rPr>
        <w:t>对</w:t>
      </w:r>
      <w:r>
        <w:rPr>
          <w:rFonts w:hint="eastAsia" w:ascii="仿宋_GB2312" w:hAnsi="仿宋_GB2312" w:cs="仿宋_GB2312"/>
          <w:kern w:val="0"/>
          <w:lang w:eastAsia="zh-CN"/>
        </w:rPr>
        <w:t>原</w:t>
      </w:r>
      <w:r>
        <w:rPr>
          <w:rFonts w:hint="eastAsia" w:ascii="仿宋_GB2312" w:hAnsi="仿宋_GB2312" w:cs="仿宋_GB2312"/>
          <w:kern w:val="0"/>
        </w:rPr>
        <w:t>《</w:t>
      </w:r>
      <w:r>
        <w:rPr>
          <w:rFonts w:hint="eastAsia" w:ascii="仿宋_GB2312" w:hAnsi="仿宋_GB2312" w:cs="仿宋_GB2312"/>
          <w:kern w:val="0"/>
          <w:lang w:eastAsia="zh-CN"/>
        </w:rPr>
        <w:t>若干意见</w:t>
      </w:r>
      <w:r>
        <w:rPr>
          <w:rFonts w:hint="eastAsia" w:ascii="仿宋_GB2312" w:hAnsi="仿宋_GB2312" w:cs="仿宋_GB2312"/>
          <w:kern w:val="0"/>
        </w:rPr>
        <w:t>》进行了修订，</w:t>
      </w:r>
      <w:r>
        <w:rPr>
          <w:rFonts w:hint="eastAsia" w:ascii="仿宋_GB2312" w:hAnsi="仿宋_GB2312" w:cs="仿宋_GB2312"/>
          <w:kern w:val="0"/>
          <w:lang w:eastAsia="zh-CN"/>
        </w:rPr>
        <w:t>形成</w:t>
      </w:r>
      <w:r>
        <w:rPr>
          <w:rFonts w:hint="eastAsia" w:ascii="仿宋_GB2312" w:hAnsi="仿宋_GB2312" w:eastAsia="仿宋_GB2312" w:cs="仿宋_GB2312"/>
          <w:kern w:val="0"/>
          <w:sz w:val="32"/>
          <w:szCs w:val="24"/>
        </w:rPr>
        <w:t>《</w:t>
      </w:r>
      <w:r>
        <w:rPr>
          <w:rFonts w:hint="eastAsia" w:ascii="仿宋_GB2312" w:hAnsi="仿宋_GB2312" w:cs="仿宋_GB2312"/>
          <w:kern w:val="0"/>
          <w:sz w:val="32"/>
          <w:szCs w:val="24"/>
          <w:lang w:eastAsia="zh-CN"/>
        </w:rPr>
        <w:t>关于土地出让金违约金计收问题的若干意见</w:t>
      </w:r>
      <w:r>
        <w:rPr>
          <w:rFonts w:hint="eastAsia" w:ascii="仿宋_GB2312" w:hAnsi="仿宋_GB2312" w:eastAsia="仿宋_GB2312" w:cs="仿宋_GB2312"/>
          <w:kern w:val="0"/>
          <w:sz w:val="32"/>
          <w:szCs w:val="24"/>
        </w:rPr>
        <w:t>》</w:t>
      </w:r>
      <w:r>
        <w:rPr>
          <w:rFonts w:hint="eastAsia" w:ascii="仿宋_GB2312" w:hAnsi="仿宋_GB2312" w:eastAsia="仿宋_GB2312" w:cs="仿宋_GB2312"/>
          <w:kern w:val="0"/>
          <w:sz w:val="32"/>
          <w:szCs w:val="24"/>
          <w:lang w:eastAsia="zh-CN"/>
        </w:rPr>
        <w:t>（</w:t>
      </w:r>
      <w:r>
        <w:rPr>
          <w:rFonts w:hint="eastAsia" w:ascii="仿宋_GB2312" w:hAnsi="仿宋_GB2312" w:cs="仿宋_GB2312"/>
          <w:kern w:val="0"/>
          <w:sz w:val="32"/>
          <w:szCs w:val="24"/>
          <w:lang w:val="en-US" w:eastAsia="zh-CN"/>
        </w:rPr>
        <w:t>以下简称“</w:t>
      </w:r>
      <w:r>
        <w:rPr>
          <w:rFonts w:hint="eastAsia" w:ascii="仿宋_GB2312" w:hAnsi="仿宋_GB2312" w:cs="仿宋_GB2312"/>
          <w:kern w:val="0"/>
        </w:rPr>
        <w:t>《</w:t>
      </w:r>
      <w:r>
        <w:rPr>
          <w:rFonts w:hint="eastAsia" w:ascii="仿宋_GB2312" w:hAnsi="仿宋_GB2312" w:cs="仿宋_GB2312"/>
          <w:kern w:val="0"/>
          <w:lang w:eastAsia="zh-CN"/>
        </w:rPr>
        <w:t>若干意见</w:t>
      </w:r>
      <w:r>
        <w:rPr>
          <w:rFonts w:hint="eastAsia" w:ascii="仿宋_GB2312" w:hAnsi="仿宋_GB2312" w:cs="仿宋_GB2312"/>
          <w:kern w:val="0"/>
        </w:rPr>
        <w:t>》</w:t>
      </w:r>
      <w:r>
        <w:rPr>
          <w:rFonts w:hint="eastAsia" w:ascii="仿宋_GB2312" w:hAnsi="仿宋_GB2312" w:cs="仿宋_GB2312"/>
          <w:kern w:val="0"/>
          <w:lang w:eastAsia="zh-CN"/>
        </w:rPr>
        <w:t>修订稿</w:t>
      </w:r>
      <w:r>
        <w:rPr>
          <w:rFonts w:hint="eastAsia" w:ascii="仿宋_GB2312" w:hAnsi="仿宋_GB2312" w:cs="仿宋_GB2312"/>
          <w:kern w:val="0"/>
          <w:sz w:val="32"/>
          <w:szCs w:val="24"/>
          <w:lang w:val="en-US" w:eastAsia="zh-CN"/>
        </w:rPr>
        <w:t>”</w:t>
      </w:r>
      <w:r>
        <w:rPr>
          <w:rFonts w:hint="eastAsia" w:ascii="仿宋_GB2312" w:hAnsi="仿宋_GB2312" w:eastAsia="仿宋_GB2312" w:cs="仿宋_GB2312"/>
          <w:kern w:val="0"/>
          <w:sz w:val="32"/>
          <w:szCs w:val="24"/>
          <w:lang w:eastAsia="zh-CN"/>
        </w:rPr>
        <w:t>）</w:t>
      </w:r>
      <w:r>
        <w:rPr>
          <w:rFonts w:hint="eastAsia" w:ascii="仿宋_GB2312" w:hAnsi="仿宋_GB2312" w:cs="仿宋_GB2312"/>
          <w:kern w:val="0"/>
        </w:rPr>
        <w:t>。</w:t>
      </w:r>
    </w:p>
    <w:p>
      <w:pPr>
        <w:spacing w:line="560" w:lineRule="exact"/>
        <w:ind w:firstLine="790" w:firstLineChars="247"/>
        <w:jc w:val="left"/>
        <w:rPr>
          <w:rFonts w:ascii="黑体" w:hAnsi="黑体" w:eastAsia="黑体"/>
          <w:color w:val="000000"/>
          <w:sz w:val="32"/>
          <w:szCs w:val="32"/>
        </w:rPr>
      </w:pPr>
      <w:r>
        <w:rPr>
          <w:rFonts w:ascii="黑体" w:hAnsi="黑体" w:eastAsia="黑体"/>
          <w:color w:val="000000"/>
          <w:sz w:val="32"/>
          <w:szCs w:val="32"/>
        </w:rPr>
        <w:t>二、</w:t>
      </w:r>
      <w:r>
        <w:rPr>
          <w:rFonts w:hint="eastAsia" w:ascii="黑体" w:hAnsi="宋体" w:eastAsia="黑体"/>
          <w:sz w:val="32"/>
          <w:szCs w:val="32"/>
          <w:lang w:val="en-US" w:eastAsia="zh-CN"/>
        </w:rPr>
        <w:t>修订</w:t>
      </w:r>
      <w:r>
        <w:rPr>
          <w:rFonts w:hint="eastAsia" w:ascii="黑体" w:hAnsi="宋体" w:eastAsia="黑体"/>
          <w:sz w:val="32"/>
          <w:szCs w:val="32"/>
        </w:rPr>
        <w:t>文件的</w:t>
      </w:r>
      <w:r>
        <w:rPr>
          <w:rFonts w:ascii="黑体" w:hAnsi="黑体" w:eastAsia="黑体"/>
          <w:color w:val="000000"/>
          <w:sz w:val="32"/>
          <w:szCs w:val="32"/>
        </w:rPr>
        <w:t>主体合法性</w:t>
      </w:r>
    </w:p>
    <w:p>
      <w:pPr>
        <w:tabs>
          <w:tab w:val="left" w:pos="0"/>
        </w:tabs>
        <w:spacing w:line="560" w:lineRule="exact"/>
        <w:ind w:left="0" w:leftChars="0" w:firstLine="640" w:firstLineChars="200"/>
        <w:jc w:val="left"/>
        <w:rPr>
          <w:rFonts w:hint="eastAsia" w:ascii="仿宋_GB2312" w:hAnsi="仿宋_GB2312" w:cs="仿宋_GB2312"/>
          <w:sz w:val="32"/>
          <w:szCs w:val="32"/>
          <w:lang w:eastAsia="zh-CN"/>
        </w:rPr>
      </w:pPr>
      <w:r>
        <w:rPr>
          <w:rFonts w:hint="eastAsia" w:ascii="仿宋_GB2312" w:hAnsi="仿宋_GB2312" w:cs="仿宋_GB2312"/>
          <w:sz w:val="32"/>
          <w:szCs w:val="32"/>
          <w:lang w:eastAsia="zh-CN"/>
        </w:rPr>
        <w:t>根据《中华人民共和国土地管理法》、《国务院办公厅关于规范国有土地使用权出让收支管理的通知》（国办发〔2006〕100号）及财政部、自然资源部、税务总局、人民银行联合印发的《关于将国有土地使用权出让收入、矿产资源专项收入、海域使用金、无居民海岛使用金四项非税收入划转税务部门征收有关问题的通知》（财综〔2021〕19号）等规定，我局拟与国家税务总局广州市税务局、广州市财政局联合修订《若干意见》，修订主体合法。</w:t>
      </w:r>
    </w:p>
    <w:p>
      <w:pPr>
        <w:spacing w:line="560" w:lineRule="exact"/>
        <w:ind w:firstLine="790" w:firstLineChars="247"/>
        <w:jc w:val="left"/>
        <w:rPr>
          <w:rFonts w:hAnsi="仿宋" w:eastAsia="黑体"/>
          <w:sz w:val="32"/>
          <w:szCs w:val="32"/>
        </w:rPr>
      </w:pPr>
      <w:r>
        <w:rPr>
          <w:rFonts w:hint="eastAsia" w:ascii="黑体" w:hAnsi="黑体" w:eastAsia="黑体"/>
          <w:color w:val="000000"/>
          <w:sz w:val="32"/>
          <w:szCs w:val="32"/>
        </w:rPr>
        <w:t>三</w:t>
      </w:r>
      <w:r>
        <w:rPr>
          <w:rFonts w:ascii="黑体" w:hAnsi="黑体" w:eastAsia="黑体"/>
          <w:color w:val="000000"/>
          <w:sz w:val="32"/>
          <w:szCs w:val="32"/>
        </w:rPr>
        <w:t>、</w:t>
      </w:r>
      <w:r>
        <w:rPr>
          <w:rFonts w:hint="eastAsia" w:ascii="黑体" w:hAnsi="宋体" w:eastAsia="黑体"/>
          <w:sz w:val="32"/>
          <w:szCs w:val="32"/>
          <w:lang w:val="en-US" w:eastAsia="zh-CN"/>
        </w:rPr>
        <w:t>修订</w:t>
      </w:r>
      <w:r>
        <w:rPr>
          <w:rFonts w:hint="eastAsia" w:ascii="黑体" w:hAnsi="宋体" w:eastAsia="黑体"/>
          <w:sz w:val="32"/>
          <w:szCs w:val="32"/>
        </w:rPr>
        <w:t>文件</w:t>
      </w:r>
      <w:r>
        <w:rPr>
          <w:rFonts w:hint="eastAsia" w:ascii="黑体" w:hAnsi="黑体" w:eastAsia="黑体"/>
          <w:color w:val="000000"/>
          <w:sz w:val="32"/>
          <w:szCs w:val="32"/>
        </w:rPr>
        <w:t>的</w:t>
      </w:r>
      <w:r>
        <w:rPr>
          <w:rFonts w:hint="eastAsia" w:ascii="黑体" w:hAnsi="黑体" w:eastAsia="黑体"/>
          <w:color w:val="000000"/>
          <w:sz w:val="32"/>
          <w:szCs w:val="32"/>
          <w:lang w:eastAsia="zh-CN"/>
        </w:rPr>
        <w:t>合理</w:t>
      </w:r>
      <w:r>
        <w:rPr>
          <w:rFonts w:hint="eastAsia" w:ascii="黑体" w:hAnsi="黑体" w:eastAsia="黑体"/>
          <w:color w:val="000000"/>
          <w:sz w:val="32"/>
          <w:szCs w:val="32"/>
        </w:rPr>
        <w:t>性</w:t>
      </w:r>
    </w:p>
    <w:p>
      <w:pPr>
        <w:spacing w:line="560" w:lineRule="exact"/>
        <w:ind w:firstLine="790" w:firstLineChars="247"/>
        <w:jc w:val="left"/>
        <w:rPr>
          <w:rFonts w:hint="default" w:hAnsi="仿宋" w:eastAsia="仿宋"/>
          <w:sz w:val="32"/>
          <w:szCs w:val="32"/>
          <w:lang w:val="en-US" w:eastAsia="zh-CN"/>
        </w:rPr>
      </w:pPr>
      <w:r>
        <w:rPr>
          <w:rFonts w:hint="eastAsia" w:ascii="仿宋_GB2312" w:hAnsi="黑体" w:eastAsia="仿宋_GB2312"/>
          <w:color w:val="000000"/>
          <w:sz w:val="32"/>
          <w:szCs w:val="32"/>
        </w:rPr>
        <w:t>修订后的《若干意见》可进一步完善我市的土地出让金违约金计收规则，一</w:t>
      </w:r>
      <w:r>
        <w:rPr>
          <w:rFonts w:hint="eastAsia" w:ascii="仿宋_GB2312" w:hAnsi="黑体" w:eastAsia="仿宋_GB2312"/>
          <w:color w:val="000000"/>
          <w:sz w:val="32"/>
          <w:szCs w:val="32"/>
          <w:lang w:eastAsia="zh-CN"/>
        </w:rPr>
        <w:t>方面</w:t>
      </w:r>
      <w:r>
        <w:rPr>
          <w:rFonts w:hint="eastAsia" w:ascii="仿宋_GB2312" w:hAnsi="黑体" w:eastAsia="仿宋_GB2312"/>
          <w:color w:val="000000"/>
          <w:sz w:val="32"/>
          <w:szCs w:val="32"/>
        </w:rPr>
        <w:t>具有良好的社会效益，有利于妥善解决企业关切的</w:t>
      </w:r>
      <w:r>
        <w:rPr>
          <w:rFonts w:hint="eastAsia" w:ascii="仿宋_GB2312" w:hAnsi="黑体"/>
          <w:color w:val="000000"/>
          <w:sz w:val="32"/>
          <w:szCs w:val="32"/>
          <w:lang w:eastAsia="zh-CN"/>
        </w:rPr>
        <w:t>违约金</w:t>
      </w:r>
      <w:r>
        <w:rPr>
          <w:rFonts w:hint="eastAsia" w:ascii="仿宋_GB2312" w:hAnsi="黑体" w:eastAsia="仿宋_GB2312"/>
          <w:color w:val="000000"/>
          <w:sz w:val="32"/>
          <w:szCs w:val="32"/>
        </w:rPr>
        <w:t>计收标准问题，降低企业成本，促进房地产市场健康平稳发展；</w:t>
      </w:r>
      <w:r>
        <w:rPr>
          <w:rFonts w:hint="eastAsia" w:ascii="仿宋_GB2312" w:hAnsi="黑体" w:eastAsia="仿宋_GB2312"/>
          <w:color w:val="000000"/>
          <w:sz w:val="32"/>
          <w:szCs w:val="32"/>
          <w:lang w:eastAsia="zh-CN"/>
        </w:rPr>
        <w:t>另一方面</w:t>
      </w:r>
      <w:r>
        <w:rPr>
          <w:rFonts w:hint="eastAsia" w:ascii="仿宋_GB2312" w:hAnsi="黑体" w:eastAsia="仿宋_GB2312"/>
          <w:color w:val="000000"/>
          <w:sz w:val="32"/>
          <w:szCs w:val="32"/>
        </w:rPr>
        <w:t>具有良好的经济效益，通过明确土地出让金本金、违约金及利息收取的先后顺序，确保土地出让收入按时足额缴纳，为我市经济社会发展提供有力的政策支撑和要素支撑。</w:t>
      </w:r>
    </w:p>
    <w:p>
      <w:pPr>
        <w:spacing w:line="560" w:lineRule="exact"/>
        <w:ind w:firstLine="790" w:firstLineChars="247"/>
        <w:jc w:val="left"/>
        <w:rPr>
          <w:rFonts w:hAnsi="仿宋" w:eastAsia="黑体"/>
          <w:sz w:val="32"/>
          <w:szCs w:val="32"/>
        </w:rPr>
      </w:pPr>
      <w:r>
        <w:rPr>
          <w:rFonts w:hint="eastAsia" w:ascii="黑体" w:hAnsi="黑体" w:eastAsia="黑体"/>
          <w:color w:val="000000"/>
          <w:sz w:val="32"/>
          <w:szCs w:val="32"/>
          <w:lang w:eastAsia="zh-CN"/>
        </w:rPr>
        <w:t>四</w:t>
      </w:r>
      <w:r>
        <w:rPr>
          <w:rFonts w:ascii="黑体" w:hAnsi="黑体" w:eastAsia="黑体"/>
          <w:color w:val="000000"/>
          <w:sz w:val="32"/>
          <w:szCs w:val="32"/>
        </w:rPr>
        <w:t>、</w:t>
      </w:r>
      <w:r>
        <w:rPr>
          <w:rFonts w:hint="eastAsia" w:ascii="黑体" w:hAnsi="宋体" w:eastAsia="黑体"/>
          <w:sz w:val="32"/>
          <w:szCs w:val="32"/>
          <w:lang w:val="en-US" w:eastAsia="zh-CN"/>
        </w:rPr>
        <w:t>修订</w:t>
      </w:r>
      <w:r>
        <w:rPr>
          <w:rFonts w:hint="eastAsia" w:ascii="黑体" w:hAnsi="宋体" w:eastAsia="黑体"/>
          <w:sz w:val="32"/>
          <w:szCs w:val="32"/>
        </w:rPr>
        <w:t>文件的</w:t>
      </w:r>
      <w:r>
        <w:rPr>
          <w:rFonts w:hint="eastAsia" w:ascii="黑体" w:hAnsi="黑体" w:eastAsia="黑体"/>
          <w:color w:val="000000"/>
          <w:sz w:val="32"/>
          <w:szCs w:val="32"/>
        </w:rPr>
        <w:t>可行性</w:t>
      </w:r>
    </w:p>
    <w:p>
      <w:pPr>
        <w:tabs>
          <w:tab w:val="left" w:pos="0"/>
        </w:tabs>
        <w:spacing w:line="560" w:lineRule="exact"/>
        <w:ind w:left="0" w:leftChars="0" w:firstLine="640" w:firstLineChars="200"/>
        <w:jc w:val="left"/>
        <w:rPr>
          <w:rFonts w:hint="eastAsia" w:ascii="仿宋_GB2312" w:hAnsi="仿宋_GB2312" w:cs="仿宋_GB2312"/>
          <w:sz w:val="32"/>
          <w:szCs w:val="32"/>
          <w:lang w:eastAsia="zh-CN"/>
        </w:rPr>
      </w:pPr>
      <w:r>
        <w:rPr>
          <w:rFonts w:hint="eastAsia" w:ascii="仿宋_GB2312" w:hAnsi="仿宋_GB2312" w:cs="仿宋_GB2312"/>
          <w:sz w:val="32"/>
          <w:szCs w:val="32"/>
          <w:lang w:eastAsia="zh-CN"/>
        </w:rPr>
        <w:t>根据《自然资源规范性文件管理规定》（中华人民共和国自然资源部令第2号）第二十八条规定和《广州市行政规范性文件管理规定》第三十四条第二款规定，经我局评估认为原《若干意见》需要继续实施，我局拟在该意见有效期届满前完成修订并重新发布，确保土地出让金违约金计收规则的延续性。</w:t>
      </w:r>
    </w:p>
    <w:p>
      <w:pPr>
        <w:numPr>
          <w:ilvl w:val="0"/>
          <w:numId w:val="0"/>
        </w:numPr>
        <w:spacing w:line="560" w:lineRule="exact"/>
        <w:ind w:firstLine="640" w:firstLineChars="200"/>
        <w:rPr>
          <w:rFonts w:hint="eastAsia" w:ascii="黑体" w:hAnsi="宋体" w:eastAsia="黑体"/>
          <w:sz w:val="32"/>
          <w:szCs w:val="32"/>
        </w:rPr>
      </w:pPr>
      <w:r>
        <w:rPr>
          <w:rFonts w:hint="eastAsia" w:ascii="黑体" w:hAnsi="宋体" w:eastAsia="黑体"/>
          <w:sz w:val="32"/>
          <w:szCs w:val="32"/>
          <w:lang w:eastAsia="zh-CN"/>
        </w:rPr>
        <w:t>五、</w:t>
      </w:r>
      <w:r>
        <w:rPr>
          <w:rFonts w:hint="eastAsia" w:ascii="黑体" w:hAnsi="宋体" w:eastAsia="黑体"/>
          <w:sz w:val="32"/>
          <w:szCs w:val="32"/>
        </w:rPr>
        <w:t>法律政策依据</w:t>
      </w:r>
    </w:p>
    <w:p>
      <w:pPr>
        <w:spacing w:line="560" w:lineRule="exact"/>
        <w:ind w:firstLine="640" w:firstLineChars="200"/>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rPr>
        <w:t>1.国家法律法规：《中华人民共和国</w:t>
      </w:r>
      <w:r>
        <w:rPr>
          <w:rFonts w:hint="eastAsia" w:ascii="仿宋_GB2312" w:hAnsi="仿宋_GB2312" w:cs="仿宋_GB2312"/>
          <w:sz w:val="32"/>
          <w:szCs w:val="32"/>
          <w:highlight w:val="none"/>
          <w:lang w:eastAsia="zh-CN"/>
        </w:rPr>
        <w:t>土地管理法</w:t>
      </w:r>
      <w:r>
        <w:rPr>
          <w:rFonts w:hint="eastAsia" w:ascii="仿宋_GB2312" w:hAnsi="仿宋_GB2312" w:eastAsia="仿宋_GB2312" w:cs="仿宋_GB2312"/>
          <w:sz w:val="32"/>
          <w:szCs w:val="32"/>
          <w:highlight w:val="none"/>
        </w:rPr>
        <w:t>》</w:t>
      </w:r>
      <w:r>
        <w:rPr>
          <w:rFonts w:hint="eastAsia" w:ascii="仿宋_GB2312" w:hAnsi="仿宋_GB2312" w:cs="仿宋_GB2312"/>
          <w:sz w:val="32"/>
          <w:szCs w:val="32"/>
          <w:highlight w:val="none"/>
          <w:lang w:eastAsia="zh-CN"/>
        </w:rPr>
        <w:t>《中华人民共和国民法典》。</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2.国家部门规范性文件：</w:t>
      </w:r>
      <w:r>
        <w:rPr>
          <w:rFonts w:hint="eastAsia" w:ascii="仿宋_GB2312" w:hAnsi="仿宋" w:eastAsia="仿宋_GB2312"/>
          <w:sz w:val="32"/>
          <w:szCs w:val="32"/>
        </w:rPr>
        <w:t>《</w:t>
      </w:r>
      <w:r>
        <w:rPr>
          <w:rFonts w:hint="eastAsia" w:ascii="仿宋_GB2312" w:hAnsi="仿宋" w:eastAsia="仿宋_GB2312"/>
          <w:color w:val="000000"/>
          <w:sz w:val="32"/>
          <w:szCs w:val="32"/>
        </w:rPr>
        <w:t>国务院办公厅关于规范国有土地使用权出让收支管理的通知</w:t>
      </w:r>
      <w:r>
        <w:rPr>
          <w:rFonts w:hint="eastAsia" w:ascii="仿宋_GB2312" w:hAnsi="仿宋" w:eastAsia="仿宋_GB2312"/>
          <w:sz w:val="32"/>
          <w:szCs w:val="32"/>
        </w:rPr>
        <w:t>》</w:t>
      </w:r>
      <w:r>
        <w:rPr>
          <w:rFonts w:hint="eastAsia" w:ascii="仿宋_GB2312" w:hAnsi="仿宋" w:eastAsia="仿宋_GB2312"/>
          <w:color w:val="000000"/>
          <w:sz w:val="32"/>
          <w:szCs w:val="32"/>
        </w:rPr>
        <w:t>（国办发〔2006〕100号）</w:t>
      </w:r>
      <w:r>
        <w:rPr>
          <w:rFonts w:hint="eastAsia" w:ascii="仿宋_GB2312" w:hAnsi="仿宋_GB2312" w:eastAsia="仿宋_GB2312" w:cs="仿宋_GB2312"/>
          <w:sz w:val="32"/>
          <w:szCs w:val="32"/>
        </w:rPr>
        <w:t>、</w:t>
      </w:r>
      <w:r>
        <w:rPr>
          <w:rFonts w:hint="eastAsia" w:ascii="仿宋_GB2312" w:hAnsi="仿宋_GB2312" w:cs="仿宋_GB2312"/>
          <w:sz w:val="32"/>
          <w:szCs w:val="32"/>
          <w:lang w:eastAsia="zh-CN"/>
        </w:rPr>
        <w:t>《</w:t>
      </w:r>
      <w:r>
        <w:rPr>
          <w:rFonts w:hint="eastAsia" w:hAnsi="仿宋" w:eastAsia="仿宋"/>
          <w:sz w:val="32"/>
          <w:szCs w:val="32"/>
        </w:rPr>
        <w:t>关于将国有土地使用权出让收入、矿产资源专项收入、海域使用金、无居</w:t>
      </w:r>
      <w:r>
        <w:rPr>
          <w:rFonts w:hint="eastAsia" w:ascii="仿宋_GB2312" w:hAnsi="仿宋_GB2312" w:cs="仿宋_GB2312"/>
          <w:sz w:val="32"/>
          <w:szCs w:val="32"/>
          <w:lang w:eastAsia="zh-CN"/>
        </w:rPr>
        <w:t>民海岛使用金四项非税收入划转税务部门征收有关问题的通知》（财综〔2021〕19号）、《中华人民共和国税收征收管理法实施细则》（国务院令第362号）。</w:t>
      </w:r>
    </w:p>
    <w:p>
      <w:pPr>
        <w:spacing w:line="560" w:lineRule="exact"/>
        <w:ind w:firstLine="640"/>
        <w:rPr>
          <w:rFonts w:hint="eastAsia" w:ascii="楷体_GB2312" w:hAnsi="楷体_GB2312" w:eastAsia="楷体_GB2312" w:cs="楷体_GB2312"/>
          <w:bCs/>
        </w:rPr>
      </w:pPr>
      <w:r>
        <w:rPr>
          <w:rFonts w:hint="eastAsia" w:eastAsia="黑体" w:cs="Times New Roman"/>
          <w:sz w:val="32"/>
          <w:szCs w:val="32"/>
          <w:lang w:eastAsia="zh-CN"/>
        </w:rPr>
        <w:t>六、</w:t>
      </w:r>
      <w:r>
        <w:rPr>
          <w:rFonts w:hint="default" w:ascii="Times New Roman" w:hAnsi="Times New Roman" w:eastAsia="黑体" w:cs="Times New Roman"/>
          <w:sz w:val="32"/>
          <w:szCs w:val="32"/>
        </w:rPr>
        <w:t>起草过程</w:t>
      </w:r>
      <w:r>
        <w:rPr>
          <w:rFonts w:hint="eastAsia" w:eastAsia="黑体" w:cs="Times New Roman"/>
          <w:sz w:val="32"/>
          <w:szCs w:val="32"/>
          <w:lang w:eastAsia="zh-CN"/>
        </w:rPr>
        <w:t>及</w:t>
      </w:r>
      <w:r>
        <w:rPr>
          <w:rFonts w:hint="default" w:ascii="Times New Roman" w:hAnsi="Times New Roman" w:eastAsia="黑体" w:cs="Times New Roman"/>
          <w:sz w:val="32"/>
          <w:szCs w:val="32"/>
        </w:rPr>
        <w:t>评估、论证情况</w:t>
      </w:r>
    </w:p>
    <w:p>
      <w:pPr>
        <w:pStyle w:val="5"/>
        <w:spacing w:line="560" w:lineRule="exact"/>
        <w:ind w:left="0" w:leftChars="0" w:firstLine="640"/>
        <w:rPr>
          <w:rFonts w:hint="eastAsia" w:ascii="方正仿宋_GBK" w:hAnsi="方正仿宋_GBK" w:eastAsia="方正仿宋_GBK" w:cs="方正仿宋_GBK"/>
          <w:color w:val="auto"/>
          <w:highlight w:val="yellow"/>
          <w:lang w:val="en-US" w:eastAsia="zh-CN"/>
        </w:rPr>
      </w:pPr>
      <w:r>
        <w:rPr>
          <w:rFonts w:hint="eastAsia" w:ascii="仿宋_GB2312" w:hAnsi="仿宋_GB2312" w:eastAsia="仿宋_GB2312" w:cs="仿宋_GB2312"/>
          <w:kern w:val="2"/>
          <w:sz w:val="32"/>
          <w:szCs w:val="32"/>
          <w:lang w:val="en-US" w:eastAsia="zh-CN" w:bidi="ar-SA"/>
        </w:rPr>
        <w:t>2023年11月，我局启动了原《若干意见》的修订工作，对实施情况进行了评估，形成了实施评估报告，同时通过充分调研，收集问题、总结经验，形成了调研报告。2023年2月，就《若干意见》修订稿先后征求了局系统各单位意见以及局外各单位意见。</w:t>
      </w:r>
    </w:p>
    <w:p>
      <w:pPr>
        <w:spacing w:line="560" w:lineRule="exact"/>
        <w:ind w:left="0" w:leftChars="0" w:firstLine="640" w:firstLineChars="200"/>
        <w:rPr>
          <w:rFonts w:hint="eastAsia" w:ascii="仿宋_GB2312" w:hAnsi="宋体" w:eastAsia="仿宋_GB2312"/>
          <w:sz w:val="32"/>
          <w:szCs w:val="32"/>
        </w:rPr>
      </w:pPr>
      <w:r>
        <w:rPr>
          <w:rFonts w:hint="eastAsia" w:ascii="黑体" w:hAnsi="宋体" w:eastAsia="黑体"/>
          <w:sz w:val="32"/>
          <w:szCs w:val="32"/>
          <w:lang w:eastAsia="zh-CN"/>
        </w:rPr>
        <w:t>七、</w:t>
      </w:r>
      <w:r>
        <w:rPr>
          <w:rFonts w:hint="eastAsia" w:ascii="黑体" w:hAnsi="宋体" w:eastAsia="黑体"/>
          <w:sz w:val="32"/>
          <w:szCs w:val="32"/>
        </w:rPr>
        <w:t>主要内容说明</w:t>
      </w:r>
    </w:p>
    <w:p>
      <w:pPr>
        <w:spacing w:line="560" w:lineRule="exact"/>
        <w:ind w:firstLine="640" w:firstLineChars="200"/>
        <w:rPr>
          <w:rFonts w:hint="eastAsia" w:ascii="楷体" w:hAnsi="楷体" w:eastAsia="楷体" w:cs="楷体"/>
          <w:sz w:val="32"/>
          <w:szCs w:val="32"/>
        </w:rPr>
      </w:pPr>
      <w:r>
        <w:rPr>
          <w:rFonts w:hint="eastAsia" w:ascii="楷体" w:hAnsi="楷体" w:eastAsia="楷体" w:cs="楷体"/>
          <w:sz w:val="32"/>
          <w:szCs w:val="32"/>
        </w:rPr>
        <w:t>（一）所要解决的主要问题说明</w:t>
      </w:r>
    </w:p>
    <w:p>
      <w:pPr>
        <w:spacing w:line="560" w:lineRule="exact"/>
        <w:ind w:firstLine="640" w:firstLineChars="200"/>
        <w:rPr>
          <w:rFonts w:hint="eastAsia" w:ascii="仿宋_GB2312" w:hAnsi="仿宋" w:eastAsia="仿宋_GB2312"/>
          <w:sz w:val="32"/>
          <w:szCs w:val="32"/>
          <w:lang w:val="en-US" w:eastAsia="zh-CN"/>
        </w:rPr>
      </w:pPr>
      <w:r>
        <w:rPr>
          <w:rFonts w:hint="eastAsia"/>
          <w:bCs/>
        </w:rPr>
        <w:t>《</w:t>
      </w:r>
      <w:r>
        <w:rPr>
          <w:rFonts w:hint="eastAsia"/>
          <w:bCs/>
          <w:lang w:eastAsia="zh-CN"/>
        </w:rPr>
        <w:t>若干意见</w:t>
      </w:r>
      <w:r>
        <w:rPr>
          <w:rFonts w:hint="eastAsia"/>
          <w:bCs/>
        </w:rPr>
        <w:t>》</w:t>
      </w:r>
      <w:r>
        <w:rPr>
          <w:rFonts w:hint="eastAsia" w:ascii="仿宋_GB2312" w:hAnsi="仿宋_GB2312" w:cs="仿宋_GB2312"/>
          <w:kern w:val="0"/>
          <w:lang w:eastAsia="zh-CN"/>
        </w:rPr>
        <w:t>修订稿</w:t>
      </w:r>
      <w:r>
        <w:rPr>
          <w:rFonts w:hint="eastAsia" w:cs="Times New Roman"/>
          <w:color w:val="000000"/>
          <w:sz w:val="32"/>
          <w:szCs w:val="32"/>
          <w:lang w:eastAsia="zh-CN"/>
        </w:rPr>
        <w:t>进一步</w:t>
      </w:r>
      <w:r>
        <w:rPr>
          <w:rFonts w:hint="eastAsia" w:ascii="Times New Roman" w:hAnsi="Times New Roman" w:eastAsia="仿宋_GB2312" w:cs="Times New Roman"/>
          <w:color w:val="000000"/>
          <w:sz w:val="32"/>
          <w:szCs w:val="32"/>
          <w:lang w:eastAsia="zh-CN"/>
        </w:rPr>
        <w:t>规范了全市出让金</w:t>
      </w:r>
      <w:r>
        <w:rPr>
          <w:rFonts w:hint="eastAsia" w:cs="Times New Roman"/>
          <w:color w:val="000000"/>
          <w:sz w:val="32"/>
          <w:szCs w:val="32"/>
          <w:lang w:eastAsia="zh-CN"/>
        </w:rPr>
        <w:t>违约金</w:t>
      </w:r>
      <w:r>
        <w:rPr>
          <w:rFonts w:hint="eastAsia" w:ascii="Times New Roman" w:hAnsi="Times New Roman" w:eastAsia="仿宋_GB2312" w:cs="Times New Roman"/>
          <w:color w:val="000000"/>
          <w:sz w:val="32"/>
          <w:szCs w:val="32"/>
          <w:lang w:eastAsia="zh-CN"/>
        </w:rPr>
        <w:t>计收工作，</w:t>
      </w:r>
      <w:r>
        <w:rPr>
          <w:rFonts w:hint="eastAsia" w:cs="Times New Roman"/>
          <w:color w:val="000000"/>
          <w:sz w:val="32"/>
          <w:szCs w:val="32"/>
          <w:lang w:eastAsia="zh-CN"/>
        </w:rPr>
        <w:t>主要对以下</w:t>
      </w:r>
      <w:r>
        <w:rPr>
          <w:rFonts w:hint="eastAsia" w:cs="Times New Roman"/>
          <w:color w:val="000000"/>
          <w:sz w:val="32"/>
          <w:szCs w:val="32"/>
          <w:lang w:val="en-US" w:eastAsia="zh-CN"/>
        </w:rPr>
        <w:t>三个方面的内容进行了完善：一是根据国家政策调整，明确土地出让金违约金的计算时段；二是解决</w:t>
      </w:r>
      <w:r>
        <w:rPr>
          <w:rFonts w:hint="eastAsia" w:cs="Times New Roman"/>
          <w:color w:val="000000"/>
          <w:sz w:val="32"/>
          <w:szCs w:val="32"/>
          <w:lang w:eastAsia="zh-CN"/>
        </w:rPr>
        <w:t>征收</w:t>
      </w:r>
      <w:r>
        <w:rPr>
          <w:rFonts w:hint="eastAsia" w:ascii="仿宋_GB2312" w:hAnsi="仿宋" w:eastAsia="仿宋_GB2312"/>
          <w:sz w:val="32"/>
          <w:szCs w:val="32"/>
        </w:rPr>
        <w:t>土地出让金本金、违约金及利息的先后顺序</w:t>
      </w:r>
      <w:r>
        <w:rPr>
          <w:rFonts w:hint="eastAsia" w:ascii="仿宋_GB2312" w:hAnsi="仿宋"/>
          <w:sz w:val="32"/>
          <w:szCs w:val="32"/>
          <w:lang w:eastAsia="zh-CN"/>
        </w:rPr>
        <w:t>问题；三是由于文物保护、市政建设、重大规划调整等非企业原因影响项目开发建设的情形下，保障缴款人提出异议的权利。</w:t>
      </w:r>
    </w:p>
    <w:p>
      <w:pPr>
        <w:spacing w:line="560" w:lineRule="exact"/>
        <w:ind w:firstLine="640" w:firstLineChars="200"/>
        <w:rPr>
          <w:rFonts w:hint="eastAsia" w:ascii="楷体" w:hAnsi="楷体" w:eastAsia="楷体" w:cs="楷体"/>
          <w:sz w:val="32"/>
          <w:szCs w:val="32"/>
          <w:lang w:eastAsia="zh-CN"/>
        </w:rPr>
      </w:pPr>
      <w:r>
        <w:rPr>
          <w:rFonts w:hint="eastAsia" w:ascii="楷体" w:hAnsi="楷体" w:eastAsia="楷体" w:cs="楷体"/>
          <w:sz w:val="32"/>
          <w:szCs w:val="32"/>
        </w:rPr>
        <w:t>（二）</w:t>
      </w:r>
      <w:r>
        <w:rPr>
          <w:rFonts w:hint="eastAsia" w:ascii="楷体" w:hAnsi="楷体" w:eastAsia="楷体" w:cs="楷体"/>
          <w:sz w:val="32"/>
          <w:szCs w:val="32"/>
          <w:lang w:eastAsia="zh-CN"/>
        </w:rPr>
        <w:t>修订的主要内容</w:t>
      </w:r>
    </w:p>
    <w:p>
      <w:pPr>
        <w:spacing w:line="560" w:lineRule="exact"/>
        <w:ind w:firstLine="640" w:firstLineChars="20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若干意见》修订稿共分为7条，1-3条，明确土地出让金违约金的计收标准以及缴交顺序；第4、5条，明确土地出让金违约金的免计及其他特殊情形；第6条，明确土地出让金违约金的定义。除继续沿用现行大部分政策外，对本次修订的主要内容说明如下：</w:t>
      </w:r>
    </w:p>
    <w:p>
      <w:pPr>
        <w:spacing w:line="560" w:lineRule="exact"/>
        <w:ind w:firstLine="643" w:firstLineChars="200"/>
        <w:rPr>
          <w:rFonts w:hint="eastAsia" w:ascii="仿宋_GB2312" w:hAnsi="仿宋_GB2312" w:eastAsia="仿宋_GB2312" w:cs="仿宋_GB2312"/>
          <w:kern w:val="2"/>
          <w:sz w:val="32"/>
          <w:szCs w:val="32"/>
          <w:lang w:val="en-US" w:eastAsia="zh-CN" w:bidi="ar-SA"/>
        </w:rPr>
      </w:pPr>
      <w:r>
        <w:rPr>
          <w:rFonts w:hint="eastAsia" w:ascii="仿宋_GB2312" w:hAnsi="宋体"/>
          <w:b/>
          <w:bCs/>
          <w:lang w:val="en-US" w:eastAsia="zh-CN"/>
        </w:rPr>
        <w:t>1.明确土地出让金违约金的计算时段</w:t>
      </w:r>
      <w:r>
        <w:rPr>
          <w:rFonts w:hint="eastAsia" w:ascii="仿宋_GB2312" w:hAnsi="宋体"/>
          <w:b/>
          <w:bCs/>
          <w:lang w:eastAsia="zh-CN"/>
        </w:rPr>
        <w:t>。</w:t>
      </w:r>
      <w:r>
        <w:rPr>
          <w:rFonts w:hint="eastAsia" w:ascii="仿宋_GB2312" w:hAnsi="仿宋_GB2312" w:eastAsia="仿宋_GB2312" w:cs="仿宋_GB2312"/>
          <w:kern w:val="2"/>
          <w:sz w:val="32"/>
          <w:szCs w:val="32"/>
          <w:lang w:val="en-US" w:eastAsia="zh-CN" w:bidi="ar-SA"/>
        </w:rPr>
        <w:t>财政部、自然资源部、税务总局、人民银行联合印发的《关于将国有土地使用权出让收入、矿产资源专项收入、海域使用金、无居民海岛使用金四项非税收入划转税务部门征收有关问题的通知》（财综〔2021〕19号）第一点规定，将由自然资源部门负责征收的国有土地使用权出让收入等政府非税收入，全部划转给税务部门负责征收。因征收部门主体发生改变，《若干意见》（修订稿）第一条对违约金的计算时段表述进行了完善。</w:t>
      </w:r>
    </w:p>
    <w:p>
      <w:pPr>
        <w:numPr>
          <w:ilvl w:val="0"/>
          <w:numId w:val="0"/>
        </w:numPr>
        <w:spacing w:line="560" w:lineRule="exact"/>
        <w:ind w:firstLine="643" w:firstLineChars="200"/>
        <w:rPr>
          <w:rFonts w:hint="eastAsia" w:hAnsi="仿宋" w:eastAsia="仿宋"/>
          <w:sz w:val="32"/>
          <w:szCs w:val="32"/>
          <w:lang w:eastAsia="zh-CN"/>
        </w:rPr>
      </w:pPr>
      <w:r>
        <w:rPr>
          <w:rFonts w:hint="eastAsia" w:ascii="仿宋_GB2312" w:hAnsi="宋体"/>
          <w:b/>
          <w:bCs/>
          <w:lang w:val="en-US" w:eastAsia="zh-CN"/>
        </w:rPr>
        <w:t>2.</w:t>
      </w:r>
      <w:r>
        <w:rPr>
          <w:rFonts w:hint="eastAsia" w:ascii="仿宋_GB2312" w:hAnsi="宋体"/>
          <w:b/>
          <w:bCs/>
          <w:lang w:eastAsia="zh-CN"/>
        </w:rPr>
        <w:t>明确土地出让金、违约金及利息的缴交顺序。</w:t>
      </w:r>
      <w:r>
        <w:rPr>
          <w:rFonts w:hint="eastAsia" w:hAnsi="仿宋" w:eastAsia="仿宋"/>
          <w:sz w:val="32"/>
          <w:szCs w:val="32"/>
        </w:rPr>
        <w:t>在征收土地出让金的过程中，</w:t>
      </w:r>
      <w:r>
        <w:rPr>
          <w:rFonts w:hint="eastAsia" w:hAnsi="仿宋" w:eastAsia="仿宋"/>
          <w:sz w:val="32"/>
          <w:szCs w:val="32"/>
          <w:lang w:eastAsia="zh-CN"/>
        </w:rPr>
        <w:t>当缴款人支付的款项不足以覆盖</w:t>
      </w:r>
      <w:r>
        <w:rPr>
          <w:rFonts w:hint="eastAsia" w:hAnsi="仿宋" w:eastAsia="仿宋"/>
          <w:sz w:val="32"/>
          <w:szCs w:val="32"/>
        </w:rPr>
        <w:t>土地出让金本金、违约金及利息</w:t>
      </w:r>
      <w:r>
        <w:rPr>
          <w:rFonts w:hint="eastAsia" w:hAnsi="仿宋" w:eastAsia="仿宋"/>
          <w:sz w:val="32"/>
          <w:szCs w:val="32"/>
          <w:lang w:eastAsia="zh-CN"/>
        </w:rPr>
        <w:t>全部款项</w:t>
      </w:r>
      <w:r>
        <w:rPr>
          <w:rFonts w:hint="eastAsia" w:hAnsi="仿宋" w:eastAsia="仿宋"/>
          <w:sz w:val="32"/>
          <w:szCs w:val="32"/>
        </w:rPr>
        <w:t>的</w:t>
      </w:r>
      <w:r>
        <w:rPr>
          <w:rFonts w:hint="eastAsia" w:hAnsi="仿宋" w:eastAsia="仿宋"/>
          <w:sz w:val="32"/>
          <w:szCs w:val="32"/>
          <w:lang w:eastAsia="zh-CN"/>
        </w:rPr>
        <w:t>情形下，原《若干意见》未明确缴交土地出让金本金、违约金及利息的先后顺序。</w:t>
      </w:r>
      <w:r>
        <w:rPr>
          <w:rFonts w:hint="eastAsia" w:hAnsi="仿宋" w:eastAsia="仿宋"/>
          <w:sz w:val="32"/>
          <w:szCs w:val="32"/>
        </w:rPr>
        <w:t>因此《若干意见》</w:t>
      </w:r>
      <w:r>
        <w:rPr>
          <w:rFonts w:hint="eastAsia" w:hAnsi="仿宋" w:eastAsia="仿宋"/>
          <w:sz w:val="32"/>
          <w:szCs w:val="32"/>
          <w:lang w:eastAsia="zh-CN"/>
        </w:rPr>
        <w:t>（修订稿）参照</w:t>
      </w:r>
      <w:r>
        <w:rPr>
          <w:rFonts w:hint="eastAsia" w:hAnsi="仿宋" w:eastAsia="仿宋"/>
          <w:sz w:val="32"/>
          <w:szCs w:val="32"/>
        </w:rPr>
        <w:t>《民法典》第五百六十一条规定</w:t>
      </w:r>
      <w:r>
        <w:rPr>
          <w:rFonts w:hint="eastAsia" w:hAnsi="仿宋" w:eastAsia="仿宋"/>
          <w:sz w:val="32"/>
          <w:szCs w:val="32"/>
          <w:lang w:eastAsia="zh-CN"/>
        </w:rPr>
        <w:t>，</w:t>
      </w:r>
      <w:r>
        <w:rPr>
          <w:rFonts w:hint="eastAsia" w:hAnsi="仿宋" w:eastAsia="仿宋"/>
          <w:sz w:val="32"/>
          <w:szCs w:val="32"/>
        </w:rPr>
        <w:t>对于已产生利息、违约金但尚未支付的</w:t>
      </w:r>
      <w:r>
        <w:rPr>
          <w:rFonts w:hint="eastAsia" w:hAnsi="仿宋" w:eastAsia="仿宋"/>
          <w:sz w:val="32"/>
          <w:szCs w:val="32"/>
          <w:lang w:eastAsia="zh-CN"/>
        </w:rPr>
        <w:t>情形，明确先缴交违约金和利息，再缴交本金。</w:t>
      </w:r>
    </w:p>
    <w:p>
      <w:pPr>
        <w:numPr>
          <w:ilvl w:val="-1"/>
          <w:numId w:val="0"/>
        </w:numPr>
        <w:spacing w:line="560" w:lineRule="exact"/>
        <w:ind w:firstLine="643" w:firstLineChars="200"/>
        <w:rPr>
          <w:rFonts w:hint="eastAsia" w:hAnsi="仿宋" w:eastAsia="仿宋"/>
          <w:sz w:val="32"/>
          <w:szCs w:val="32"/>
          <w:lang w:val="en-US" w:eastAsia="zh-CN"/>
        </w:rPr>
      </w:pPr>
      <w:r>
        <w:rPr>
          <w:rFonts w:hint="eastAsia" w:ascii="仿宋_GB2312" w:hAnsi="宋体"/>
          <w:b/>
          <w:bCs/>
          <w:lang w:val="en-US" w:eastAsia="zh-CN"/>
        </w:rPr>
        <w:t>3.保障缴款人提出异议的权利。</w:t>
      </w:r>
      <w:r>
        <w:rPr>
          <w:rFonts w:hint="eastAsia" w:ascii="仿宋_GB2312" w:hAnsi="仿宋"/>
          <w:sz w:val="32"/>
          <w:szCs w:val="32"/>
          <w:lang w:val="en-US" w:eastAsia="zh-CN"/>
        </w:rPr>
        <w:t>明确</w:t>
      </w:r>
      <w:r>
        <w:rPr>
          <w:rFonts w:hint="eastAsia" w:ascii="仿宋_GB2312" w:hAnsi="仿宋"/>
          <w:sz w:val="32"/>
          <w:szCs w:val="32"/>
          <w:lang w:eastAsia="zh-CN"/>
        </w:rPr>
        <w:t>由于文物保护、市政建设、重大规划调整等非企业原因影响项目开发建设的情形下</w:t>
      </w:r>
      <w:r>
        <w:rPr>
          <w:rFonts w:hint="eastAsia" w:ascii="方正仿宋_GBK" w:hAnsi="方正仿宋_GBK" w:eastAsia="方正仿宋_GBK" w:cs="方正仿宋_GBK"/>
          <w:sz w:val="32"/>
          <w:szCs w:val="32"/>
          <w:lang w:val="en-US" w:eastAsia="zh-CN"/>
        </w:rPr>
        <w:t>，</w:t>
      </w:r>
      <w:r>
        <w:rPr>
          <w:rFonts w:hint="eastAsia" w:hAnsi="仿宋" w:eastAsia="仿宋"/>
          <w:sz w:val="32"/>
          <w:szCs w:val="32"/>
          <w:lang w:val="en-US" w:eastAsia="zh-CN"/>
        </w:rPr>
        <w:t>缴款人认为受影响时段应面积延迟缴付土地出让金产生的违约金的，可向规划和自然资源</w:t>
      </w:r>
      <w:bookmarkStart w:id="0" w:name="_GoBack"/>
      <w:bookmarkEnd w:id="0"/>
      <w:r>
        <w:rPr>
          <w:rFonts w:hint="eastAsia" w:hAnsi="仿宋" w:eastAsia="仿宋"/>
          <w:sz w:val="32"/>
          <w:szCs w:val="32"/>
          <w:lang w:val="en-US" w:eastAsia="zh-CN"/>
        </w:rPr>
        <w:t>部门提出异议，充分保障缴款人的合法权益。</w:t>
      </w:r>
    </w:p>
    <w:p>
      <w:pPr>
        <w:numPr>
          <w:ilvl w:val="0"/>
          <w:numId w:val="0"/>
        </w:numPr>
        <w:spacing w:line="560" w:lineRule="exact"/>
        <w:ind w:firstLine="642"/>
        <w:rPr>
          <w:rFonts w:hint="eastAsia" w:ascii="楷体_GB2312" w:hAnsi="楷体_GB2312" w:eastAsia="楷体_GB2312" w:cs="楷体_GB2312"/>
          <w:bCs/>
          <w:highlight w:val="none"/>
        </w:rPr>
      </w:pPr>
      <w:r>
        <w:rPr>
          <w:rFonts w:hint="eastAsia" w:eastAsia="黑体" w:cs="Times New Roman"/>
          <w:sz w:val="32"/>
          <w:szCs w:val="32"/>
          <w:highlight w:val="none"/>
          <w:lang w:eastAsia="zh-CN"/>
        </w:rPr>
        <w:t>八、</w:t>
      </w:r>
      <w:r>
        <w:rPr>
          <w:rFonts w:hint="default" w:ascii="Times New Roman" w:hAnsi="Times New Roman" w:eastAsia="黑体" w:cs="Times New Roman"/>
          <w:sz w:val="32"/>
          <w:szCs w:val="32"/>
          <w:highlight w:val="none"/>
        </w:rPr>
        <w:t>征求意见</w:t>
      </w:r>
      <w:r>
        <w:rPr>
          <w:rFonts w:hint="eastAsia" w:eastAsia="黑体" w:cs="Times New Roman"/>
          <w:sz w:val="32"/>
          <w:szCs w:val="32"/>
          <w:highlight w:val="none"/>
          <w:lang w:eastAsia="zh-CN"/>
        </w:rPr>
        <w:t>的</w:t>
      </w:r>
      <w:r>
        <w:rPr>
          <w:rFonts w:hint="default" w:ascii="Times New Roman" w:hAnsi="Times New Roman" w:eastAsia="黑体" w:cs="Times New Roman"/>
          <w:sz w:val="32"/>
          <w:szCs w:val="32"/>
          <w:highlight w:val="none"/>
        </w:rPr>
        <w:t>情况及意见采纳情况。</w:t>
      </w:r>
    </w:p>
    <w:p>
      <w:pPr>
        <w:numPr>
          <w:ilvl w:val="-1"/>
          <w:numId w:val="0"/>
        </w:numPr>
        <w:spacing w:line="560" w:lineRule="exact"/>
        <w:ind w:firstLine="640" w:firstLineChars="200"/>
        <w:rPr>
          <w:rFonts w:hint="eastAsia" w:hAnsi="仿宋" w:eastAsia="仿宋"/>
          <w:sz w:val="32"/>
          <w:szCs w:val="32"/>
          <w:lang w:val="en-US" w:eastAsia="zh-CN"/>
        </w:rPr>
      </w:pPr>
      <w:r>
        <w:rPr>
          <w:rFonts w:hint="eastAsia" w:hAnsi="仿宋" w:eastAsia="仿宋"/>
          <w:sz w:val="32"/>
          <w:szCs w:val="32"/>
          <w:lang w:val="en-US" w:eastAsia="zh-CN"/>
        </w:rPr>
        <w:t>（一）征求职能部门的意见。2024年1月，征求了市直职能部门的意见，收集到4条意见，1条意见采纳，3条意见未采纳。未采纳意见中1条意见因法律法规政策依据不足未采纳，2条意见因未涉及土地出让金违约金的计收问题，属于土地出让金征收流程工作，考虑纳入部门业务流程。</w:t>
      </w:r>
    </w:p>
    <w:p>
      <w:pPr>
        <w:numPr>
          <w:ilvl w:val="-1"/>
          <w:numId w:val="0"/>
        </w:numPr>
        <w:spacing w:line="560" w:lineRule="exact"/>
        <w:ind w:firstLine="640" w:firstLineChars="200"/>
        <w:rPr>
          <w:rFonts w:hint="eastAsia" w:hAnsi="仿宋" w:eastAsia="仿宋"/>
          <w:sz w:val="32"/>
          <w:szCs w:val="32"/>
          <w:lang w:val="en-US" w:eastAsia="zh-CN"/>
        </w:rPr>
      </w:pPr>
      <w:r>
        <w:rPr>
          <w:rFonts w:hint="eastAsia" w:hAnsi="仿宋" w:eastAsia="仿宋"/>
          <w:sz w:val="32"/>
          <w:szCs w:val="32"/>
          <w:lang w:val="en-US" w:eastAsia="zh-CN"/>
        </w:rPr>
        <w:t>（二）征求各区分局的意见。2024年1月，征求了广州市规划和自然资源局各区分局的意见，收集到3条意见，1条意见采纳，2条意见不采纳。未采纳意见中1条意见无上位法支撑，1条意见属于业务流程问题，考虑纳入部门业务流程。</w:t>
      </w:r>
    </w:p>
    <w:p>
      <w:pPr>
        <w:numPr>
          <w:ilvl w:val="-1"/>
          <w:numId w:val="0"/>
        </w:numPr>
        <w:spacing w:line="560" w:lineRule="exact"/>
        <w:ind w:firstLine="640" w:firstLineChars="200"/>
        <w:rPr>
          <w:rFonts w:hint="eastAsia" w:hAnsi="仿宋" w:eastAsia="仿宋"/>
          <w:sz w:val="32"/>
          <w:szCs w:val="32"/>
          <w:lang w:val="en-US" w:eastAsia="zh-CN"/>
        </w:rPr>
      </w:pPr>
      <w:r>
        <w:rPr>
          <w:rFonts w:hint="eastAsia" w:hAnsi="仿宋" w:eastAsia="仿宋"/>
          <w:sz w:val="32"/>
          <w:szCs w:val="32"/>
          <w:lang w:val="en-US" w:eastAsia="zh-CN"/>
        </w:rPr>
        <w:t>专此说明。</w:t>
      </w:r>
    </w:p>
    <w:p>
      <w:pPr>
        <w:spacing w:line="560" w:lineRule="exact"/>
        <w:ind w:firstLine="640"/>
        <w:rPr>
          <w:rFonts w:hint="default" w:ascii="Times New Roman" w:hAnsi="Times New Roman" w:eastAsia="仿宋_GB2312" w:cs="Times New Roman"/>
          <w:sz w:val="32"/>
          <w:szCs w:val="32"/>
          <w:lang w:eastAsia="zh-CN"/>
        </w:rPr>
      </w:pPr>
    </w:p>
    <w:p>
      <w:pPr>
        <w:spacing w:line="560" w:lineRule="exact"/>
        <w:ind w:firstLine="640"/>
        <w:rPr>
          <w:rFonts w:hint="default" w:ascii="Times New Roman" w:hAnsi="Times New Roman" w:eastAsia="仿宋_GB2312" w:cs="Times New Roman"/>
          <w:sz w:val="32"/>
          <w:szCs w:val="32"/>
          <w:lang w:eastAsia="zh-CN"/>
        </w:rPr>
      </w:pPr>
    </w:p>
    <w:p>
      <w:pPr>
        <w:spacing w:line="560" w:lineRule="exact"/>
        <w:ind w:firstLine="640"/>
        <w:rPr>
          <w:rFonts w:hint="default" w:ascii="Times New Roman" w:hAnsi="Times New Roman" w:eastAsia="仿宋_GB2312" w:cs="Times New Roman"/>
          <w:sz w:val="32"/>
          <w:szCs w:val="32"/>
          <w:lang w:eastAsia="zh-CN"/>
        </w:rPr>
      </w:pPr>
    </w:p>
    <w:p>
      <w:pPr>
        <w:spacing w:line="560" w:lineRule="exact"/>
        <w:ind w:firstLine="640"/>
        <w:rPr>
          <w:rFonts w:hint="default" w:ascii="Times New Roman" w:hAnsi="Times New Roman" w:eastAsia="仿宋_GB2312" w:cs="Times New Roman"/>
          <w:sz w:val="32"/>
          <w:szCs w:val="32"/>
          <w:lang w:eastAsia="zh-CN"/>
        </w:rPr>
      </w:pPr>
    </w:p>
    <w:p>
      <w:pPr>
        <w:spacing w:line="560" w:lineRule="exact"/>
        <w:ind w:left="0" w:leftChars="0" w:firstLine="0" w:firstLineChars="0"/>
      </w:pPr>
    </w:p>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仿宋_GBK">
    <w:altName w:val="微软雅黑"/>
    <w:panose1 w:val="03000509000000000000"/>
    <w:charset w:val="86"/>
    <w:family w:val="script"/>
    <w:pitch w:val="default"/>
    <w:sig w:usb0="00000000" w:usb1="00000000" w:usb2="00000000" w:usb3="00000000" w:csb0="00040000" w:csb1="00000000"/>
  </w:font>
  <w:font w:name="方正小标宋简体">
    <w:altName w:val="仿宋_GB2312"/>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ind w:firstLine="360"/>
                            <w:rPr>
                              <w:rFonts w:hint="eastAsia"/>
                            </w:rPr>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Ps5vjrgEAAEsD&#10;AAAOAAAAAAAAAAEAIAAAAB4BAABkcnMvZTJvRG9jLnhtbFBLBQYAAAAABgAGAFkBAAA+BQAAAAA=&#10;">
              <v:fill on="f" focussize="0,0"/>
              <v:stroke on="f"/>
              <v:imagedata o:title=""/>
              <o:lock v:ext="edit" aspectratio="f"/>
              <v:textbox inset="0mm,0mm,0mm,0mm" style="mso-fit-shape-to-text:t;">
                <w:txbxContent>
                  <w:p>
                    <w:pPr>
                      <w:pStyle w:val="4"/>
                      <w:ind w:firstLine="360"/>
                      <w:rPr>
                        <w:rFonts w:hint="eastAsia"/>
                      </w:rPr>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4AF4B35"/>
    <w:rsid w:val="00D70C93"/>
    <w:rsid w:val="01985FD1"/>
    <w:rsid w:val="02782FED"/>
    <w:rsid w:val="03990EFC"/>
    <w:rsid w:val="044F63F4"/>
    <w:rsid w:val="048509FE"/>
    <w:rsid w:val="06DB1250"/>
    <w:rsid w:val="08FA64E0"/>
    <w:rsid w:val="099309B7"/>
    <w:rsid w:val="09B4342F"/>
    <w:rsid w:val="0B7220B9"/>
    <w:rsid w:val="0C884195"/>
    <w:rsid w:val="0DCE132A"/>
    <w:rsid w:val="0DDC1157"/>
    <w:rsid w:val="120D625D"/>
    <w:rsid w:val="14091D4B"/>
    <w:rsid w:val="1931674C"/>
    <w:rsid w:val="19AA2269"/>
    <w:rsid w:val="19BC1FBD"/>
    <w:rsid w:val="1A493825"/>
    <w:rsid w:val="1B8128F9"/>
    <w:rsid w:val="1C496180"/>
    <w:rsid w:val="1F926C30"/>
    <w:rsid w:val="1FCE28D8"/>
    <w:rsid w:val="20F84FAA"/>
    <w:rsid w:val="212358CC"/>
    <w:rsid w:val="21DB0C3A"/>
    <w:rsid w:val="22D969E4"/>
    <w:rsid w:val="233E288C"/>
    <w:rsid w:val="283B7736"/>
    <w:rsid w:val="28D05AFC"/>
    <w:rsid w:val="295A2B4F"/>
    <w:rsid w:val="29C46431"/>
    <w:rsid w:val="2ADD1452"/>
    <w:rsid w:val="2B0F3730"/>
    <w:rsid w:val="2BB33441"/>
    <w:rsid w:val="2BCE3989"/>
    <w:rsid w:val="2C6F0268"/>
    <w:rsid w:val="2CE6449F"/>
    <w:rsid w:val="2DCF5D19"/>
    <w:rsid w:val="2E155816"/>
    <w:rsid w:val="2ECB4176"/>
    <w:rsid w:val="2F9436D6"/>
    <w:rsid w:val="2FC9249A"/>
    <w:rsid w:val="2FEE6411"/>
    <w:rsid w:val="32723D2A"/>
    <w:rsid w:val="32FE1793"/>
    <w:rsid w:val="33FD3205"/>
    <w:rsid w:val="34AF4B35"/>
    <w:rsid w:val="356128A9"/>
    <w:rsid w:val="35742C35"/>
    <w:rsid w:val="362E0445"/>
    <w:rsid w:val="3705639E"/>
    <w:rsid w:val="37FB2317"/>
    <w:rsid w:val="39226CBB"/>
    <w:rsid w:val="3A331B70"/>
    <w:rsid w:val="3AC17A14"/>
    <w:rsid w:val="3B6E3125"/>
    <w:rsid w:val="3D0C5133"/>
    <w:rsid w:val="3DE72DE3"/>
    <w:rsid w:val="3F450ADD"/>
    <w:rsid w:val="402E11E4"/>
    <w:rsid w:val="41885F87"/>
    <w:rsid w:val="450441DA"/>
    <w:rsid w:val="452D115C"/>
    <w:rsid w:val="472E256D"/>
    <w:rsid w:val="474E0345"/>
    <w:rsid w:val="47940524"/>
    <w:rsid w:val="481B0A56"/>
    <w:rsid w:val="49737D17"/>
    <w:rsid w:val="49D92676"/>
    <w:rsid w:val="4B863392"/>
    <w:rsid w:val="4CCA7E78"/>
    <w:rsid w:val="4DF07539"/>
    <w:rsid w:val="4F310158"/>
    <w:rsid w:val="50A8600E"/>
    <w:rsid w:val="51323989"/>
    <w:rsid w:val="518F1738"/>
    <w:rsid w:val="52303639"/>
    <w:rsid w:val="542C2646"/>
    <w:rsid w:val="545A4A1F"/>
    <w:rsid w:val="54CD1C0A"/>
    <w:rsid w:val="54CD4F99"/>
    <w:rsid w:val="55AB4B3A"/>
    <w:rsid w:val="56756960"/>
    <w:rsid w:val="569A248D"/>
    <w:rsid w:val="5711531A"/>
    <w:rsid w:val="58401AC9"/>
    <w:rsid w:val="5A4E01DA"/>
    <w:rsid w:val="5A951CD9"/>
    <w:rsid w:val="5AAB4E79"/>
    <w:rsid w:val="5B4B4BCE"/>
    <w:rsid w:val="5BA47B59"/>
    <w:rsid w:val="5BDE24DE"/>
    <w:rsid w:val="5C75393F"/>
    <w:rsid w:val="5C8A519C"/>
    <w:rsid w:val="5D02632C"/>
    <w:rsid w:val="5D165C4C"/>
    <w:rsid w:val="5D571D5E"/>
    <w:rsid w:val="5EF311FF"/>
    <w:rsid w:val="5FBF0EF1"/>
    <w:rsid w:val="60524B6A"/>
    <w:rsid w:val="62074128"/>
    <w:rsid w:val="62624245"/>
    <w:rsid w:val="63E7474B"/>
    <w:rsid w:val="645149F6"/>
    <w:rsid w:val="64FB6C9E"/>
    <w:rsid w:val="65A97C09"/>
    <w:rsid w:val="689A2FA9"/>
    <w:rsid w:val="69054FBD"/>
    <w:rsid w:val="69C75B0B"/>
    <w:rsid w:val="6A261664"/>
    <w:rsid w:val="6A372E09"/>
    <w:rsid w:val="6BA13BAB"/>
    <w:rsid w:val="6D0406AD"/>
    <w:rsid w:val="6E516BB3"/>
    <w:rsid w:val="719E090F"/>
    <w:rsid w:val="730F0736"/>
    <w:rsid w:val="73E92683"/>
    <w:rsid w:val="75707011"/>
    <w:rsid w:val="768600BB"/>
    <w:rsid w:val="76E441E9"/>
    <w:rsid w:val="777133B4"/>
    <w:rsid w:val="786656A1"/>
    <w:rsid w:val="78766C16"/>
    <w:rsid w:val="798D03EF"/>
    <w:rsid w:val="7A5944E4"/>
    <w:rsid w:val="7B592146"/>
    <w:rsid w:val="7C36168D"/>
    <w:rsid w:val="7D4423EB"/>
    <w:rsid w:val="7DD60210"/>
    <w:rsid w:val="7EC17FC4"/>
    <w:rsid w:val="7F1440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firstLine="880" w:firstLineChars="200"/>
      <w:jc w:val="both"/>
    </w:pPr>
    <w:rPr>
      <w:rFonts w:ascii="Times New Roman" w:hAnsi="Times New Roman" w:eastAsia="仿宋_GB2312" w:cs="Times New Roman"/>
      <w:kern w:val="2"/>
      <w:sz w:val="32"/>
      <w:szCs w:val="24"/>
      <w:lang w:val="en-US" w:eastAsia="zh-CN" w:bidi="ar-SA"/>
    </w:rPr>
  </w:style>
  <w:style w:type="character" w:default="1" w:styleId="6">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customStyle="1" w:styleId="2">
    <w:name w:val="正文首行缩进 21"/>
    <w:basedOn w:val="3"/>
    <w:next w:val="1"/>
    <w:qFormat/>
    <w:uiPriority w:val="0"/>
    <w:rPr>
      <w:rFonts w:ascii="Times New Roman" w:hAnsi="Times New Roman"/>
      <w:sz w:val="20"/>
    </w:rPr>
  </w:style>
  <w:style w:type="paragraph" w:customStyle="1" w:styleId="3">
    <w:name w:val="正文文本缩进1"/>
    <w:basedOn w:val="1"/>
    <w:qFormat/>
    <w:uiPriority w:val="0"/>
    <w:pPr>
      <w:ind w:left="420" w:leftChars="200"/>
    </w:pPr>
  </w:style>
  <w:style w:type="paragraph" w:styleId="4">
    <w:name w:val="footer"/>
    <w:basedOn w:val="1"/>
    <w:qFormat/>
    <w:uiPriority w:val="0"/>
    <w:pPr>
      <w:tabs>
        <w:tab w:val="center" w:pos="4153"/>
        <w:tab w:val="right" w:pos="8306"/>
      </w:tabs>
      <w:snapToGrid w:val="0"/>
      <w:jc w:val="left"/>
    </w:pPr>
    <w:rPr>
      <w:sz w:val="18"/>
    </w:rPr>
  </w:style>
  <w:style w:type="paragraph" w:styleId="5">
    <w:name w:val="toc 2"/>
    <w:basedOn w:val="1"/>
    <w:next w:val="1"/>
    <w:qFormat/>
    <w:uiPriority w:val="0"/>
    <w:pPr>
      <w:ind w:left="420" w:leftChars="200"/>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9">
    <w:name w:val="Default"/>
    <w:qFormat/>
    <w:uiPriority w:val="0"/>
    <w:pPr>
      <w:widowControl w:val="0"/>
      <w:autoSpaceDE w:val="0"/>
      <w:autoSpaceDN w:val="0"/>
      <w:adjustRightInd w:val="0"/>
    </w:pPr>
    <w:rPr>
      <w:rFonts w:hint="eastAsia" w:ascii="方正仿宋_GBK" w:hAnsi="方正仿宋_GBK" w:eastAsia="方正仿宋_GBK" w:cs="Times New Roman"/>
      <w:color w:val="000000"/>
      <w:sz w:val="24"/>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Office_10.8.2.7027_F1E327BC-269C-435d-A152-05C5408002CA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2024-03-25T02:40:00Z</dcterms:created>
  <dc:creator>刘梅</dc:creator>
  <cp:lastModifiedBy>NTKO</cp:lastModifiedBy>
  <cp:lastPrinted>2024-04-29T07:59:00Z</cp:lastPrinted>
  <dcterms:modified xsi:type="dcterms:W3CDTF">2024-07-22T03:27:31Z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2052-10.8.2.7027</vt:lpwstr>
  </property>
</Properties>
</file>